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0328"/>
      </w:tblGrid>
      <w:tr w:rsidR="00C0319E" w:rsidRPr="00AE509F" w14:paraId="12B45DA9" w14:textId="77777777" w:rsidTr="00BF15C4">
        <w:trPr>
          <w:cantSplit/>
        </w:trPr>
        <w:tc>
          <w:tcPr>
            <w:tcW w:w="10790" w:type="dxa"/>
            <w:gridSpan w:val="2"/>
          </w:tcPr>
          <w:p w14:paraId="12B45DA8" w14:textId="1A43D89E" w:rsidR="004D495F" w:rsidRPr="00AE509F" w:rsidRDefault="004D495F" w:rsidP="00524472">
            <w:pPr>
              <w:pStyle w:val="ChecklistBasis"/>
            </w:pPr>
            <w:r>
              <w:t xml:space="preserve">The purpose of this worksheet is to provide support for </w:t>
            </w:r>
            <w:r w:rsidR="0029654E">
              <w:t xml:space="preserve">IRB members </w:t>
            </w:r>
            <w:r w:rsidR="0058338B">
              <w:t>performing limited IRB reviews and/or reviewing broad consent</w:t>
            </w:r>
            <w:r>
              <w:t>. This worksheet is to be used. It does not need to be completed or retained.</w:t>
            </w:r>
          </w:p>
        </w:tc>
      </w:tr>
      <w:tr w:rsidR="00FD79FC" w:rsidRPr="00AE509F" w14:paraId="12B45DAB" w14:textId="77777777" w:rsidTr="00BF15C4">
        <w:tblPrEx>
          <w:tblCellMar>
            <w:left w:w="115" w:type="dxa"/>
            <w:right w:w="115" w:type="dxa"/>
          </w:tblCellMar>
        </w:tblPrEx>
        <w:trPr>
          <w:trHeight w:hRule="exact" w:val="72"/>
        </w:trPr>
        <w:tc>
          <w:tcPr>
            <w:tcW w:w="10790" w:type="dxa"/>
            <w:gridSpan w:val="2"/>
            <w:shd w:val="clear" w:color="auto" w:fill="000000"/>
          </w:tcPr>
          <w:p w14:paraId="12B45DAA" w14:textId="77777777" w:rsidR="00FD79FC" w:rsidRPr="00AE509F" w:rsidRDefault="00FD79FC" w:rsidP="00524472">
            <w:pPr>
              <w:rPr>
                <w:sz w:val="10"/>
                <w:szCs w:val="10"/>
              </w:rPr>
            </w:pPr>
          </w:p>
        </w:tc>
      </w:tr>
      <w:tr w:rsidR="0029654E" w:rsidRPr="0029654E" w14:paraId="62BD5DCA" w14:textId="77777777" w:rsidTr="00BF15C4">
        <w:tc>
          <w:tcPr>
            <w:tcW w:w="10790" w:type="dxa"/>
            <w:gridSpan w:val="2"/>
            <w:tcBorders>
              <w:top w:val="single" w:sz="24" w:space="0" w:color="auto"/>
              <w:left w:val="single" w:sz="2" w:space="0" w:color="auto"/>
              <w:bottom w:val="single" w:sz="2" w:space="0" w:color="auto"/>
              <w:right w:val="single" w:sz="2" w:space="0" w:color="auto"/>
            </w:tcBorders>
            <w:vAlign w:val="center"/>
          </w:tcPr>
          <w:p w14:paraId="1D83C230" w14:textId="530D96AA" w:rsidR="0029654E" w:rsidRPr="0029654E" w:rsidRDefault="0029654E">
            <w:pPr>
              <w:pStyle w:val="ChecklistBasis"/>
              <w:rPr>
                <w:b/>
                <w:szCs w:val="20"/>
              </w:rPr>
            </w:pPr>
            <w:r w:rsidRPr="0029654E">
              <w:rPr>
                <w:b/>
                <w:szCs w:val="20"/>
              </w:rPr>
              <w:t>M</w:t>
            </w:r>
            <w:r>
              <w:rPr>
                <w:b/>
                <w:szCs w:val="20"/>
              </w:rPr>
              <w:t>ethod for</w:t>
            </w:r>
            <w:r w:rsidRPr="0029654E">
              <w:rPr>
                <w:b/>
                <w:szCs w:val="20"/>
              </w:rPr>
              <w:t xml:space="preserve"> limited IRB review:</w:t>
            </w:r>
            <w:r w:rsidRPr="0029654E">
              <w:rPr>
                <w:szCs w:val="20"/>
              </w:rPr>
              <w:t xml:space="preserve"> (check one)</w:t>
            </w:r>
          </w:p>
        </w:tc>
      </w:tr>
      <w:tr w:rsidR="003A147F" w:rsidRPr="0029654E" w14:paraId="0273D1B3" w14:textId="77777777" w:rsidTr="005E03C1">
        <w:tc>
          <w:tcPr>
            <w:tcW w:w="462" w:type="dxa"/>
            <w:tcBorders>
              <w:top w:val="single" w:sz="2" w:space="0" w:color="auto"/>
              <w:left w:val="single" w:sz="2" w:space="0" w:color="auto"/>
              <w:bottom w:val="single" w:sz="2" w:space="0" w:color="auto"/>
              <w:right w:val="single" w:sz="2" w:space="0" w:color="auto"/>
            </w:tcBorders>
            <w:hideMark/>
          </w:tcPr>
          <w:p w14:paraId="7C294684" w14:textId="227ABFCB" w:rsidR="009B6D5F" w:rsidRPr="009B6D5F" w:rsidRDefault="00000000" w:rsidP="009B6D5F">
            <w:pPr>
              <w:pStyle w:val="ChecklistBasis"/>
              <w:jc w:val="center"/>
              <w:rPr>
                <w:szCs w:val="20"/>
              </w:rPr>
            </w:pPr>
            <w:sdt>
              <w:sdtPr>
                <w:id w:val="1897389995"/>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Borders>
              <w:top w:val="single" w:sz="2" w:space="0" w:color="auto"/>
              <w:left w:val="single" w:sz="2" w:space="0" w:color="auto"/>
              <w:bottom w:val="single" w:sz="2" w:space="0" w:color="auto"/>
              <w:right w:val="single" w:sz="2" w:space="0" w:color="auto"/>
            </w:tcBorders>
            <w:hideMark/>
          </w:tcPr>
          <w:p w14:paraId="56833422" w14:textId="77777777" w:rsidR="009B6D5F" w:rsidRPr="0029654E" w:rsidRDefault="009B6D5F" w:rsidP="009B6D5F">
            <w:pPr>
              <w:pStyle w:val="ChecklistBasis"/>
              <w:rPr>
                <w:szCs w:val="20"/>
              </w:rPr>
            </w:pPr>
            <w:r w:rsidRPr="0029654E">
              <w:rPr>
                <w:szCs w:val="20"/>
              </w:rPr>
              <w:t>Limited IRB review, for research as a condition of exemption, conducted via expedited review</w:t>
            </w:r>
            <w:r w:rsidRPr="0029654E">
              <w:rPr>
                <w:rStyle w:val="EndnoteReference"/>
                <w:szCs w:val="20"/>
              </w:rPr>
              <w:endnoteReference w:id="1"/>
            </w:r>
          </w:p>
        </w:tc>
      </w:tr>
      <w:tr w:rsidR="009B6D5F" w:rsidRPr="0029654E" w14:paraId="059738B8" w14:textId="77777777" w:rsidTr="005E03C1">
        <w:tc>
          <w:tcPr>
            <w:tcW w:w="462" w:type="dxa"/>
            <w:tcBorders>
              <w:top w:val="single" w:sz="2" w:space="0" w:color="auto"/>
              <w:left w:val="single" w:sz="2" w:space="0" w:color="auto"/>
              <w:bottom w:val="nil"/>
              <w:right w:val="single" w:sz="2" w:space="0" w:color="auto"/>
            </w:tcBorders>
          </w:tcPr>
          <w:p w14:paraId="23D1D937" w14:textId="063BA094" w:rsidR="009B6D5F" w:rsidRPr="009B6D5F" w:rsidRDefault="00000000" w:rsidP="009B6D5F">
            <w:pPr>
              <w:pStyle w:val="ChecklistBasis"/>
              <w:jc w:val="center"/>
              <w:rPr>
                <w:szCs w:val="20"/>
              </w:rPr>
            </w:pPr>
            <w:sdt>
              <w:sdtPr>
                <w:id w:val="691646369"/>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Borders>
              <w:top w:val="single" w:sz="2" w:space="0" w:color="auto"/>
              <w:left w:val="single" w:sz="2" w:space="0" w:color="auto"/>
              <w:bottom w:val="nil"/>
              <w:right w:val="single" w:sz="2" w:space="0" w:color="auto"/>
            </w:tcBorders>
          </w:tcPr>
          <w:p w14:paraId="4486E1F4" w14:textId="50FEA4B1" w:rsidR="009B6D5F" w:rsidRPr="0029654E" w:rsidRDefault="009B6D5F" w:rsidP="009B6D5F">
            <w:pPr>
              <w:pStyle w:val="ChecklistBasis"/>
              <w:rPr>
                <w:szCs w:val="20"/>
              </w:rPr>
            </w:pPr>
            <w:r w:rsidRPr="0029654E">
              <w:rPr>
                <w:szCs w:val="20"/>
              </w:rPr>
              <w:t>Limited IRB review, for research as a condition of exemption, performed by the convened IRB.</w:t>
            </w:r>
          </w:p>
        </w:tc>
      </w:tr>
      <w:tr w:rsidR="00746F5F" w:rsidRPr="00AE509F" w14:paraId="12B45DB8" w14:textId="77777777" w:rsidTr="00BF15C4">
        <w:tblPrEx>
          <w:tblCellMar>
            <w:left w:w="115" w:type="dxa"/>
            <w:right w:w="115" w:type="dxa"/>
          </w:tblCellMar>
        </w:tblPrEx>
        <w:trPr>
          <w:trHeight w:hRule="exact" w:val="72"/>
        </w:trPr>
        <w:tc>
          <w:tcPr>
            <w:tcW w:w="10790" w:type="dxa"/>
            <w:gridSpan w:val="2"/>
            <w:shd w:val="clear" w:color="auto" w:fill="000000"/>
          </w:tcPr>
          <w:p w14:paraId="12B45DB7" w14:textId="77777777" w:rsidR="00746F5F" w:rsidRPr="00AE509F" w:rsidRDefault="00746F5F" w:rsidP="00524472">
            <w:pPr>
              <w:rPr>
                <w:sz w:val="10"/>
                <w:szCs w:val="10"/>
              </w:rPr>
            </w:pPr>
          </w:p>
        </w:tc>
      </w:tr>
      <w:tr w:rsidR="00746F5F" w:rsidRPr="00AE509F" w14:paraId="12B45DBA" w14:textId="77777777" w:rsidTr="00BF15C4">
        <w:tblPrEx>
          <w:tblCellMar>
            <w:left w:w="115" w:type="dxa"/>
            <w:right w:w="115" w:type="dxa"/>
          </w:tblCellMar>
        </w:tblPrEx>
        <w:tc>
          <w:tcPr>
            <w:tcW w:w="10790" w:type="dxa"/>
            <w:gridSpan w:val="2"/>
          </w:tcPr>
          <w:p w14:paraId="12B45DB9" w14:textId="17D725B3" w:rsidR="00746F5F" w:rsidRPr="00AE509F" w:rsidRDefault="00746F5F" w:rsidP="00524472">
            <w:pPr>
              <w:pStyle w:val="ChecklistLevel1"/>
            </w:pPr>
            <w:r w:rsidRPr="00AE509F">
              <w:t xml:space="preserve">The research falls into one the following </w:t>
            </w:r>
            <w:r w:rsidR="0058338B">
              <w:t xml:space="preserve">exempt </w:t>
            </w:r>
            <w:r w:rsidRPr="00AE509F">
              <w:t>categories</w:t>
            </w:r>
            <w:r w:rsidR="0058338B">
              <w:rPr>
                <w:b w:val="0"/>
              </w:rPr>
              <w:t>:</w:t>
            </w:r>
            <w:r w:rsidR="007247F1">
              <w:rPr>
                <w:b w:val="0"/>
              </w:rPr>
              <w:t xml:space="preserve"> </w:t>
            </w:r>
            <w:r w:rsidR="007247F1" w:rsidRPr="007247F1">
              <w:rPr>
                <w:b w:val="0"/>
              </w:rPr>
              <w:t>(One or more categories must be checked)</w:t>
            </w:r>
          </w:p>
        </w:tc>
      </w:tr>
      <w:tr w:rsidR="009B6D5F" w:rsidRPr="00AE509F" w14:paraId="12B45DC1" w14:textId="77777777" w:rsidTr="005E03C1">
        <w:tblPrEx>
          <w:tblCellMar>
            <w:left w:w="115" w:type="dxa"/>
            <w:right w:w="115" w:type="dxa"/>
          </w:tblCellMar>
        </w:tblPrEx>
        <w:trPr>
          <w:cantSplit/>
        </w:trPr>
        <w:tc>
          <w:tcPr>
            <w:tcW w:w="462" w:type="dxa"/>
          </w:tcPr>
          <w:p w14:paraId="12B45DBF" w14:textId="2DB036CC" w:rsidR="009B6D5F" w:rsidRPr="00AE509F" w:rsidRDefault="00000000" w:rsidP="009B6D5F">
            <w:pPr>
              <w:pStyle w:val="Yes-No"/>
            </w:pPr>
            <w:sdt>
              <w:sdtPr>
                <w:rPr>
                  <w:b w:val="0"/>
                </w:rPr>
                <w:id w:val="-488094735"/>
                <w14:checkbox>
                  <w14:checked w14:val="0"/>
                  <w14:checkedState w14:val="2612" w14:font="MS Gothic"/>
                  <w14:uncheckedState w14:val="2610" w14:font="MS Gothic"/>
                </w14:checkbox>
              </w:sdtPr>
              <w:sdtContent>
                <w:r w:rsidR="009B6D5F" w:rsidRPr="00A03346">
                  <w:rPr>
                    <w:rFonts w:ascii="MS Gothic" w:eastAsia="MS Gothic" w:hAnsi="MS Gothic" w:hint="eastAsia"/>
                    <w:b w:val="0"/>
                  </w:rPr>
                  <w:t>☐</w:t>
                </w:r>
              </w:sdtContent>
            </w:sdt>
          </w:p>
        </w:tc>
        <w:tc>
          <w:tcPr>
            <w:tcW w:w="10328" w:type="dxa"/>
          </w:tcPr>
          <w:p w14:paraId="11F6D2D7" w14:textId="77777777" w:rsidR="009B6D5F" w:rsidRPr="009B6D5F" w:rsidRDefault="009B6D5F" w:rsidP="009B6D5F">
            <w:pPr>
              <w:pStyle w:val="StatementLevel1"/>
            </w:pPr>
            <w:r w:rsidRPr="009B6D5F">
              <w:t xml:space="preserve">Category 2 (iii): Research that only includes interactions involving educational tests (cognitive, diagnostic, aptitude, achievement), survey procedures, interview procedures or observation of public behavior (including visual or auditory recording) where the information obtained is recorded by the investigator in such a manner that the identity of the </w:t>
            </w:r>
            <w:r w:rsidRPr="009B6D5F">
              <w:rPr>
                <w:u w:val="double"/>
              </w:rPr>
              <w:t>Human Subjects</w:t>
            </w:r>
            <w:r w:rsidRPr="009B6D5F">
              <w:t xml:space="preserve"> can readily be ascertained, directly or through identifiers linked to the subjects.  The following must be true</w:t>
            </w:r>
            <w:r w:rsidRPr="009B6D5F">
              <w:rPr>
                <w:rStyle w:val="EndnoteReference"/>
              </w:rPr>
              <w:endnoteReference w:id="2"/>
            </w:r>
            <w:r w:rsidRPr="009B6D5F">
              <w:t xml:space="preserve">: </w:t>
            </w:r>
            <w:r w:rsidRPr="009B6D5F">
              <w:rPr>
                <w:b/>
              </w:rPr>
              <w:t>(Check if “Yes”)</w:t>
            </w:r>
          </w:p>
          <w:p w14:paraId="12B45DC0" w14:textId="7A0BE120" w:rsidR="009B6D5F" w:rsidRPr="009B6D5F" w:rsidRDefault="00000000" w:rsidP="009B6D5F">
            <w:pPr>
              <w:pStyle w:val="StatementLevel1"/>
            </w:pPr>
            <w:sdt>
              <w:sdtPr>
                <w:id w:val="-910314155"/>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t xml:space="preserve"> There are adequate provisions to protect the privacy of subjects and to maintain the confidentiality of data.</w:t>
            </w:r>
          </w:p>
        </w:tc>
      </w:tr>
      <w:tr w:rsidR="009B6D5F" w:rsidRPr="00AE509F" w14:paraId="0E079331" w14:textId="77777777" w:rsidTr="005E03C1">
        <w:tblPrEx>
          <w:tblCellMar>
            <w:left w:w="115" w:type="dxa"/>
            <w:right w:w="115" w:type="dxa"/>
          </w:tblCellMar>
        </w:tblPrEx>
        <w:trPr>
          <w:cantSplit/>
        </w:trPr>
        <w:tc>
          <w:tcPr>
            <w:tcW w:w="462" w:type="dxa"/>
          </w:tcPr>
          <w:p w14:paraId="55AC2E59" w14:textId="36096F73" w:rsidR="009B6D5F" w:rsidRPr="00AE509F" w:rsidRDefault="00000000" w:rsidP="009B6D5F">
            <w:pPr>
              <w:pStyle w:val="Yes-No"/>
            </w:pPr>
            <w:sdt>
              <w:sdtPr>
                <w:rPr>
                  <w:b w:val="0"/>
                </w:rPr>
                <w:id w:val="1471486896"/>
                <w14:checkbox>
                  <w14:checked w14:val="0"/>
                  <w14:checkedState w14:val="2612" w14:font="MS Gothic"/>
                  <w14:uncheckedState w14:val="2610" w14:font="MS Gothic"/>
                </w14:checkbox>
              </w:sdtPr>
              <w:sdtContent>
                <w:r w:rsidR="009B6D5F" w:rsidRPr="00A03346">
                  <w:rPr>
                    <w:rFonts w:ascii="MS Gothic" w:eastAsia="MS Gothic" w:hAnsi="MS Gothic" w:hint="eastAsia"/>
                    <w:b w:val="0"/>
                  </w:rPr>
                  <w:t>☐</w:t>
                </w:r>
              </w:sdtContent>
            </w:sdt>
          </w:p>
        </w:tc>
        <w:tc>
          <w:tcPr>
            <w:tcW w:w="10328" w:type="dxa"/>
          </w:tcPr>
          <w:p w14:paraId="0FEF2409" w14:textId="77777777" w:rsidR="009B6D5F" w:rsidRPr="009B6D5F" w:rsidRDefault="009B6D5F" w:rsidP="009B6D5F">
            <w:pPr>
              <w:pStyle w:val="StatementLevel1"/>
            </w:pPr>
            <w:r w:rsidRPr="009B6D5F">
              <w:t>Category 3 (i)(C): Research involving benign behavioral interventions</w:t>
            </w:r>
            <w:r w:rsidRPr="009B6D5F">
              <w:rPr>
                <w:rStyle w:val="EndnoteReference"/>
              </w:rPr>
              <w:endnoteReference w:id="3"/>
            </w:r>
            <w:r w:rsidRPr="009B6D5F">
              <w:t xml:space="preserve"> in conjunction with the collection of information from an adult subject through verbal or written responses (including data entry) or audiovisual recording if the subject prospectively agrees to the intervention and information collection and the information obtained is recorded by the investigator in such a manner that the identity of the </w:t>
            </w:r>
            <w:r w:rsidRPr="009B6D5F">
              <w:rPr>
                <w:u w:val="double"/>
              </w:rPr>
              <w:t>Human Subjects</w:t>
            </w:r>
            <w:r w:rsidRPr="009B6D5F">
              <w:t xml:space="preserve"> can readily be ascertained, directly or through identifiers linked to the subjects.  The following must be true </w:t>
            </w:r>
            <w:r w:rsidRPr="009B6D5F">
              <w:rPr>
                <w:rStyle w:val="EndnoteReference"/>
              </w:rPr>
              <w:endnoteReference w:id="4"/>
            </w:r>
            <w:r w:rsidRPr="009B6D5F">
              <w:rPr>
                <w:rStyle w:val="EndnoteReference"/>
              </w:rPr>
              <w:endnoteReference w:id="5"/>
            </w:r>
            <w:r w:rsidRPr="009B6D5F">
              <w:t>:</w:t>
            </w:r>
            <w:r w:rsidRPr="009B6D5F">
              <w:rPr>
                <w:b/>
              </w:rPr>
              <w:t>(Check if “Yes”)</w:t>
            </w:r>
          </w:p>
          <w:p w14:paraId="497AFB4D" w14:textId="60E5C9EC" w:rsidR="009B6D5F" w:rsidRPr="009B6D5F" w:rsidRDefault="00000000" w:rsidP="009B6D5F">
            <w:pPr>
              <w:pStyle w:val="StatementLevel1"/>
            </w:pPr>
            <w:sdt>
              <w:sdtPr>
                <w:id w:val="-798845534"/>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t xml:space="preserve">  There are adequate provisions to protect the privacy of subjects and to maintain the confidentiality of data.</w:t>
            </w:r>
          </w:p>
        </w:tc>
      </w:tr>
      <w:tr w:rsidR="009B6D5F" w:rsidRPr="00AE509F" w14:paraId="1D933297" w14:textId="77777777" w:rsidTr="005E03C1">
        <w:tblPrEx>
          <w:tblCellMar>
            <w:left w:w="115" w:type="dxa"/>
            <w:right w:w="115" w:type="dxa"/>
          </w:tblCellMar>
        </w:tblPrEx>
        <w:trPr>
          <w:cantSplit/>
        </w:trPr>
        <w:tc>
          <w:tcPr>
            <w:tcW w:w="462" w:type="dxa"/>
          </w:tcPr>
          <w:p w14:paraId="1B4C360D" w14:textId="641507A4" w:rsidR="009B6D5F" w:rsidRPr="00AE509F" w:rsidRDefault="00000000" w:rsidP="009B6D5F">
            <w:pPr>
              <w:pStyle w:val="Yes-No"/>
            </w:pPr>
            <w:sdt>
              <w:sdtPr>
                <w:rPr>
                  <w:b w:val="0"/>
                </w:rPr>
                <w:id w:val="1038094020"/>
                <w14:checkbox>
                  <w14:checked w14:val="0"/>
                  <w14:checkedState w14:val="2612" w14:font="MS Gothic"/>
                  <w14:uncheckedState w14:val="2610" w14:font="MS Gothic"/>
                </w14:checkbox>
              </w:sdtPr>
              <w:sdtContent>
                <w:r w:rsidR="009B6D5F" w:rsidRPr="00A03346">
                  <w:rPr>
                    <w:rFonts w:ascii="MS Gothic" w:eastAsia="MS Gothic" w:hAnsi="MS Gothic" w:hint="eastAsia"/>
                    <w:b w:val="0"/>
                  </w:rPr>
                  <w:t>☐</w:t>
                </w:r>
              </w:sdtContent>
            </w:sdt>
          </w:p>
        </w:tc>
        <w:tc>
          <w:tcPr>
            <w:tcW w:w="10328" w:type="dxa"/>
          </w:tcPr>
          <w:p w14:paraId="1C31EE10" w14:textId="77777777" w:rsidR="009B6D5F" w:rsidRDefault="009B6D5F" w:rsidP="009B6D5F">
            <w:pPr>
              <w:pStyle w:val="StatementLevel1"/>
              <w:rPr>
                <w:b/>
              </w:rPr>
            </w:pPr>
            <w:r>
              <w:t>Category 7: Storage or maintenance for secondary research for which broad consent is required: Storage or maintenance of identifiable private information or identifiable biospecimens for potential secondary research.  The following must all be true</w:t>
            </w:r>
            <w:r>
              <w:rPr>
                <w:rStyle w:val="EndnoteReference"/>
              </w:rPr>
              <w:endnoteReference w:id="6"/>
            </w:r>
            <w:r>
              <w:t>:</w:t>
            </w:r>
            <w:r w:rsidRPr="007247F1">
              <w:rPr>
                <w:b/>
              </w:rPr>
              <w:t xml:space="preserve"> (</w:t>
            </w:r>
            <w:r>
              <w:rPr>
                <w:b/>
              </w:rPr>
              <w:t>Check if “Yes”</w:t>
            </w:r>
            <w:r w:rsidRPr="007247F1">
              <w:rPr>
                <w:b/>
              </w:rPr>
              <w:t>)</w:t>
            </w:r>
          </w:p>
          <w:p w14:paraId="11C20B11" w14:textId="42D1FA0C" w:rsidR="009B6D5F" w:rsidRPr="009B6D5F" w:rsidRDefault="00000000" w:rsidP="009B6D5F">
            <w:pPr>
              <w:pStyle w:val="StatementLevel1"/>
            </w:pPr>
            <w:sdt>
              <w:sdtPr>
                <w:id w:val="1227413766"/>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t xml:space="preserve"> Broad consent for storage, maintenance, and secondary research use of identifiable private information or identifiable biospecimens is obtained. </w:t>
            </w:r>
            <w:r w:rsidR="009B6D5F" w:rsidRPr="00756A92">
              <w:rPr>
                <w:b/>
              </w:rPr>
              <w:t xml:space="preserve">(See Section 2: </w:t>
            </w:r>
            <w:r w:rsidR="00756A92" w:rsidRPr="00756A92">
              <w:rPr>
                <w:b/>
              </w:rPr>
              <w:t>Criteria for Broad Consent</w:t>
            </w:r>
            <w:r w:rsidR="009B6D5F" w:rsidRPr="00756A92">
              <w:rPr>
                <w:b/>
              </w:rPr>
              <w:t>)</w:t>
            </w:r>
          </w:p>
          <w:p w14:paraId="346BAB53" w14:textId="31497D31" w:rsidR="009B6D5F" w:rsidRPr="009B6D5F" w:rsidRDefault="00000000" w:rsidP="009B6D5F">
            <w:pPr>
              <w:pStyle w:val="StatementLevel1"/>
            </w:pPr>
            <w:sdt>
              <w:sdtPr>
                <w:id w:val="-2002179164"/>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t xml:space="preserve"> Broad consent is appropriately documented or waiver of documentation is appropriate. </w:t>
            </w:r>
            <w:r w:rsidR="009B6D5F" w:rsidRPr="00BD0B21">
              <w:rPr>
                <w:b/>
              </w:rPr>
              <w:t>(One must be checked below)</w:t>
            </w:r>
          </w:p>
          <w:tbl>
            <w:tblPr>
              <w:tblW w:w="10654" w:type="dxa"/>
              <w:tblInd w:w="240" w:type="dxa"/>
              <w:tblLayout w:type="fixed"/>
              <w:tblCellMar>
                <w:left w:w="115" w:type="dxa"/>
                <w:right w:w="115" w:type="dxa"/>
              </w:tblCellMar>
              <w:tblLook w:val="01E0" w:firstRow="1" w:lastRow="1" w:firstColumn="1" w:lastColumn="1" w:noHBand="0" w:noVBand="0"/>
            </w:tblPr>
            <w:tblGrid>
              <w:gridCol w:w="3730"/>
              <w:gridCol w:w="3571"/>
              <w:gridCol w:w="3353"/>
            </w:tblGrid>
            <w:tr w:rsidR="009B6D5F" w:rsidRPr="009B6D5F" w14:paraId="4CC2B564" w14:textId="77777777" w:rsidTr="009B6D5F">
              <w:trPr>
                <w:trHeight w:val="243"/>
              </w:trPr>
              <w:tc>
                <w:tcPr>
                  <w:tcW w:w="3730" w:type="dxa"/>
                  <w:tcMar>
                    <w:top w:w="0" w:type="dxa"/>
                    <w:left w:w="29" w:type="dxa"/>
                    <w:bottom w:w="0" w:type="dxa"/>
                    <w:right w:w="29" w:type="dxa"/>
                  </w:tcMar>
                  <w:vAlign w:val="bottom"/>
                  <w:hideMark/>
                </w:tcPr>
                <w:p w14:paraId="219867CB" w14:textId="286E0A74" w:rsidR="009B6D5F" w:rsidRPr="009B6D5F" w:rsidRDefault="00000000" w:rsidP="009B6D5F">
                  <w:pPr>
                    <w:pStyle w:val="StatementLevel1"/>
                    <w:spacing w:line="220" w:lineRule="exact"/>
                    <w:rPr>
                      <w:szCs w:val="20"/>
                    </w:rPr>
                  </w:pPr>
                  <w:sdt>
                    <w:sdtPr>
                      <w:id w:val="1912347580"/>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756A92">
                    <w:rPr>
                      <w:szCs w:val="20"/>
                    </w:rPr>
                    <w:t xml:space="preserve"> </w:t>
                  </w:r>
                  <w:r w:rsidR="00756A92" w:rsidRPr="00756A92">
                    <w:rPr>
                      <w:b/>
                      <w:szCs w:val="20"/>
                    </w:rPr>
                    <w:t>Section 3</w:t>
                  </w:r>
                  <w:r w:rsidR="009B6D5F" w:rsidRPr="00756A92">
                    <w:rPr>
                      <w:b/>
                      <w:szCs w:val="20"/>
                    </w:rPr>
                    <w:t>: Broad Consent (Long Form)</w:t>
                  </w:r>
                </w:p>
              </w:tc>
              <w:tc>
                <w:tcPr>
                  <w:tcW w:w="3571" w:type="dxa"/>
                  <w:tcMar>
                    <w:top w:w="0" w:type="dxa"/>
                    <w:left w:w="29" w:type="dxa"/>
                    <w:bottom w:w="0" w:type="dxa"/>
                    <w:right w:w="29" w:type="dxa"/>
                  </w:tcMar>
                  <w:vAlign w:val="bottom"/>
                  <w:hideMark/>
                </w:tcPr>
                <w:p w14:paraId="6ED2AC03" w14:textId="77777777" w:rsidR="009B6D5F" w:rsidRPr="009B6D5F" w:rsidRDefault="00000000" w:rsidP="009B6D5F">
                  <w:pPr>
                    <w:pStyle w:val="StatementLevel1"/>
                    <w:spacing w:line="220" w:lineRule="exact"/>
                    <w:rPr>
                      <w:szCs w:val="20"/>
                    </w:rPr>
                  </w:pPr>
                  <w:sdt>
                    <w:sdtPr>
                      <w:id w:val="135599485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rPr>
                      <w:szCs w:val="20"/>
                    </w:rPr>
                    <w:t xml:space="preserve"> </w:t>
                  </w:r>
                  <w:r w:rsidR="009B6D5F" w:rsidRPr="00756A92">
                    <w:rPr>
                      <w:b/>
                      <w:szCs w:val="20"/>
                    </w:rPr>
                    <w:t>Waiver of documentation (HRP-411)</w:t>
                  </w:r>
                </w:p>
              </w:tc>
              <w:tc>
                <w:tcPr>
                  <w:tcW w:w="3353" w:type="dxa"/>
                  <w:tcMar>
                    <w:top w:w="0" w:type="dxa"/>
                    <w:left w:w="29" w:type="dxa"/>
                    <w:bottom w:w="0" w:type="dxa"/>
                    <w:right w:w="29" w:type="dxa"/>
                  </w:tcMar>
                  <w:vAlign w:val="bottom"/>
                  <w:hideMark/>
                </w:tcPr>
                <w:p w14:paraId="231DE40E" w14:textId="77777777" w:rsidR="009B6D5F" w:rsidRPr="009B6D5F" w:rsidRDefault="00000000" w:rsidP="009B6D5F">
                  <w:pPr>
                    <w:pStyle w:val="StatementLevel1"/>
                    <w:spacing w:line="220" w:lineRule="exact"/>
                    <w:rPr>
                      <w:szCs w:val="20"/>
                    </w:rPr>
                  </w:pPr>
                  <w:sdt>
                    <w:sdtPr>
                      <w:id w:val="224805843"/>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rsidRPr="009B6D5F">
                    <w:rPr>
                      <w:szCs w:val="20"/>
                    </w:rPr>
                    <w:t xml:space="preserve"> </w:t>
                  </w:r>
                  <w:r w:rsidR="009B6D5F" w:rsidRPr="00756A92">
                    <w:rPr>
                      <w:b/>
                      <w:szCs w:val="20"/>
                    </w:rPr>
                    <w:t>Short Form (HRP-317)</w:t>
                  </w:r>
                </w:p>
              </w:tc>
            </w:tr>
          </w:tbl>
          <w:p w14:paraId="55C2646B" w14:textId="6EA54B3C" w:rsidR="009B6D5F" w:rsidRPr="00AE509F" w:rsidRDefault="00000000" w:rsidP="009B6D5F">
            <w:pPr>
              <w:pStyle w:val="StatementLevel1"/>
            </w:pPr>
            <w:sdt>
              <w:sdtPr>
                <w:id w:val="-1329595052"/>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9B6D5F">
              <w:t xml:space="preserve"> If there is a change made for research purposes in the way the identifiable private information or identifiable biospecimens are stored or maintained, there are adequate provisions to protect the privacy of subjects and to maintain the confidentiality of data.</w:t>
            </w:r>
          </w:p>
        </w:tc>
      </w:tr>
      <w:tr w:rsidR="009B6D5F" w:rsidRPr="00AE509F" w14:paraId="372986FD" w14:textId="77777777" w:rsidTr="005E03C1">
        <w:tblPrEx>
          <w:tblCellMar>
            <w:left w:w="115" w:type="dxa"/>
            <w:right w:w="115" w:type="dxa"/>
          </w:tblCellMar>
        </w:tblPrEx>
        <w:trPr>
          <w:cantSplit/>
        </w:trPr>
        <w:tc>
          <w:tcPr>
            <w:tcW w:w="462" w:type="dxa"/>
          </w:tcPr>
          <w:p w14:paraId="39837E06" w14:textId="7B75CE34" w:rsidR="009B6D5F" w:rsidRPr="00AE509F" w:rsidRDefault="00000000" w:rsidP="009B6D5F">
            <w:pPr>
              <w:pStyle w:val="Yes-No"/>
            </w:pPr>
            <w:sdt>
              <w:sdtPr>
                <w:rPr>
                  <w:b w:val="0"/>
                </w:rPr>
                <w:id w:val="-1110350012"/>
                <w14:checkbox>
                  <w14:checked w14:val="0"/>
                  <w14:checkedState w14:val="2612" w14:font="MS Gothic"/>
                  <w14:uncheckedState w14:val="2610" w14:font="MS Gothic"/>
                </w14:checkbox>
              </w:sdtPr>
              <w:sdtContent>
                <w:r w:rsidR="009B6D5F" w:rsidRPr="00A03346">
                  <w:rPr>
                    <w:rFonts w:ascii="MS Gothic" w:eastAsia="MS Gothic" w:hAnsi="MS Gothic" w:hint="eastAsia"/>
                    <w:b w:val="0"/>
                  </w:rPr>
                  <w:t>☐</w:t>
                </w:r>
              </w:sdtContent>
            </w:sdt>
          </w:p>
        </w:tc>
        <w:tc>
          <w:tcPr>
            <w:tcW w:w="10328" w:type="dxa"/>
          </w:tcPr>
          <w:p w14:paraId="6C01ABF2" w14:textId="73AC0F81" w:rsidR="009B6D5F" w:rsidRDefault="009B6D5F" w:rsidP="009B6D5F">
            <w:pPr>
              <w:pStyle w:val="StatementLevel1"/>
            </w:pPr>
            <w:r>
              <w:t xml:space="preserve">Category 8: Secondary research for which broad consent is required: Research involving the use of identifiable private information or identifiable biospecimens for secondary research use.  The following must all be true: </w:t>
            </w:r>
            <w:r w:rsidRPr="007247F1">
              <w:rPr>
                <w:b/>
              </w:rPr>
              <w:t>(Check if “Yes”)</w:t>
            </w:r>
          </w:p>
          <w:p w14:paraId="6E056B8F" w14:textId="2ACA8A99" w:rsidR="009B6D5F" w:rsidRDefault="00000000" w:rsidP="00BD0B21">
            <w:pPr>
              <w:pStyle w:val="StatementLevel1"/>
              <w:ind w:left="241" w:hanging="241"/>
              <w:rPr>
                <w:b/>
              </w:rPr>
            </w:pPr>
            <w:sdt>
              <w:sdtPr>
                <w:id w:val="-100574621"/>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BD0B21">
              <w:t xml:space="preserve"> </w:t>
            </w:r>
            <w:r w:rsidR="009B6D5F">
              <w:t>Broad consent for the storage, maintenance, and secondary research use of the identifiable private information or identifiable biospecimens was obtained.</w:t>
            </w:r>
          </w:p>
          <w:p w14:paraId="3AD39A09" w14:textId="5D82E53D" w:rsidR="009B6D5F" w:rsidRPr="009B6D5F" w:rsidRDefault="00000000" w:rsidP="009B6D5F">
            <w:pPr>
              <w:pStyle w:val="StatementLevel1"/>
            </w:pPr>
            <w:sdt>
              <w:sdtPr>
                <w:id w:val="1384914842"/>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BD0B21">
              <w:t xml:space="preserve"> </w:t>
            </w:r>
            <w:r w:rsidR="009B6D5F" w:rsidRPr="009B6D5F">
              <w:t>Documentation of informed consent or waiver of documentation of consent was obtained for the broad consent.</w:t>
            </w:r>
          </w:p>
          <w:p w14:paraId="5BB5D38F" w14:textId="6DECF80A" w:rsidR="009B6D5F" w:rsidRPr="009B6D5F" w:rsidRDefault="00000000" w:rsidP="009B6D5F">
            <w:pPr>
              <w:pStyle w:val="StatementLevel1"/>
            </w:pPr>
            <w:sdt>
              <w:sdtPr>
                <w:id w:val="-421877889"/>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BD0B21">
              <w:t xml:space="preserve"> </w:t>
            </w:r>
            <w:r w:rsidR="009B6D5F" w:rsidRPr="009B6D5F">
              <w:t>There are adequate provisions to protect the privacy of subjects and to maintain the confidentiality of data.</w:t>
            </w:r>
          </w:p>
          <w:p w14:paraId="04E96D5F" w14:textId="5629FAAD" w:rsidR="009B6D5F" w:rsidRPr="009B6D5F" w:rsidRDefault="00000000" w:rsidP="009B6D5F">
            <w:pPr>
              <w:pStyle w:val="StatementLevel1"/>
            </w:pPr>
            <w:sdt>
              <w:sdtPr>
                <w:id w:val="-2130079175"/>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BD0B21">
              <w:t xml:space="preserve"> </w:t>
            </w:r>
            <w:r w:rsidR="009B6D5F" w:rsidRPr="009B6D5F">
              <w:t>The research to be conducted is within the scope of the broad consent that was obtained.</w:t>
            </w:r>
          </w:p>
          <w:p w14:paraId="048681AD" w14:textId="7BACD625" w:rsidR="009B6D5F" w:rsidRPr="00AE509F" w:rsidRDefault="00000000" w:rsidP="009B6D5F">
            <w:pPr>
              <w:pStyle w:val="StatementLevel1"/>
            </w:pPr>
            <w:sdt>
              <w:sdtPr>
                <w:id w:val="-214087744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r w:rsidR="00BD0B21">
              <w:t xml:space="preserve"> </w:t>
            </w:r>
            <w:r w:rsidR="009B6D5F">
              <w:t>The investigator does not include returning individual research results to subjects as part of the study plan</w:t>
            </w:r>
            <w:r w:rsidR="009B6D5F">
              <w:rPr>
                <w:rStyle w:val="EndnoteReference"/>
              </w:rPr>
              <w:endnoteReference w:id="7"/>
            </w:r>
            <w:r w:rsidR="009B6D5F">
              <w:t xml:space="preserve">. </w:t>
            </w:r>
          </w:p>
        </w:tc>
      </w:tr>
      <w:tr w:rsidR="00B5461B" w:rsidRPr="00AE509F" w14:paraId="12B45DE7" w14:textId="77777777" w:rsidTr="00BF15C4">
        <w:tblPrEx>
          <w:tblCellMar>
            <w:left w:w="115" w:type="dxa"/>
            <w:right w:w="115" w:type="dxa"/>
          </w:tblCellMar>
        </w:tblPrEx>
        <w:trPr>
          <w:trHeight w:hRule="exact" w:val="72"/>
        </w:trPr>
        <w:tc>
          <w:tcPr>
            <w:tcW w:w="10790" w:type="dxa"/>
            <w:gridSpan w:val="2"/>
            <w:shd w:val="clear" w:color="auto" w:fill="000000"/>
          </w:tcPr>
          <w:p w14:paraId="12B45DE6" w14:textId="77777777" w:rsidR="00B5461B" w:rsidRPr="00AE509F" w:rsidRDefault="00B5461B" w:rsidP="00B5461B">
            <w:pPr>
              <w:pStyle w:val="ChecklistBasis"/>
            </w:pPr>
          </w:p>
        </w:tc>
      </w:tr>
      <w:tr w:rsidR="00B5461B" w:rsidRPr="00AE509F" w14:paraId="12B45DE9" w14:textId="77777777" w:rsidTr="00BF15C4">
        <w:tblPrEx>
          <w:tblCellMar>
            <w:left w:w="115" w:type="dxa"/>
            <w:right w:w="115" w:type="dxa"/>
          </w:tblCellMar>
        </w:tblPrEx>
        <w:tc>
          <w:tcPr>
            <w:tcW w:w="10790" w:type="dxa"/>
            <w:gridSpan w:val="2"/>
          </w:tcPr>
          <w:p w14:paraId="12B45DE8" w14:textId="46BF08FC" w:rsidR="00B5461B" w:rsidRPr="00AE509F" w:rsidRDefault="00B5461B" w:rsidP="00B5461B">
            <w:pPr>
              <w:pStyle w:val="ChecklistLevel1"/>
            </w:pPr>
            <w:r>
              <w:t xml:space="preserve">Criteria for </w:t>
            </w:r>
            <w:r w:rsidR="00924496">
              <w:t>Broad Consent</w:t>
            </w:r>
            <w:r>
              <w:t xml:space="preserve"> </w:t>
            </w:r>
            <w:r>
              <w:rPr>
                <w:b w:val="0"/>
              </w:rPr>
              <w:t xml:space="preserve">(Check if </w:t>
            </w:r>
            <w:r>
              <w:t>“Yes”</w:t>
            </w:r>
            <w:r w:rsidR="002B675A">
              <w:t xml:space="preserve"> or “N/A”, all must be checked</w:t>
            </w:r>
            <w:r w:rsidRPr="00C04910">
              <w:rPr>
                <w:b w:val="0"/>
              </w:rPr>
              <w:t>)</w:t>
            </w:r>
          </w:p>
        </w:tc>
      </w:tr>
      <w:tr w:rsidR="00FA7596" w:rsidRPr="00AE509F" w14:paraId="11AF1B49" w14:textId="77777777" w:rsidTr="00BF15C4">
        <w:tblPrEx>
          <w:tblCellMar>
            <w:left w:w="115" w:type="dxa"/>
            <w:right w:w="115" w:type="dxa"/>
          </w:tblCellMar>
        </w:tblPrEx>
        <w:tc>
          <w:tcPr>
            <w:tcW w:w="10790" w:type="dxa"/>
            <w:gridSpan w:val="2"/>
          </w:tcPr>
          <w:p w14:paraId="37B40EF8" w14:textId="3A8CA2D3" w:rsidR="00FA7596" w:rsidRDefault="00FA7596" w:rsidP="00FA7596">
            <w:pPr>
              <w:pStyle w:val="ChecklistLevel1"/>
              <w:numPr>
                <w:ilvl w:val="0"/>
                <w:numId w:val="0"/>
              </w:numPr>
              <w:ind w:left="360" w:hanging="360"/>
            </w:pPr>
            <w:r>
              <w:t>Broad Consent Process</w:t>
            </w:r>
          </w:p>
        </w:tc>
      </w:tr>
      <w:tr w:rsidR="009B6D5F" w:rsidRPr="00AE509F" w14:paraId="12B45DEC" w14:textId="77777777" w:rsidTr="005E03C1">
        <w:tblPrEx>
          <w:tblCellMar>
            <w:left w:w="115" w:type="dxa"/>
            <w:right w:w="115" w:type="dxa"/>
          </w:tblCellMar>
        </w:tblPrEx>
        <w:trPr>
          <w:cantSplit/>
        </w:trPr>
        <w:tc>
          <w:tcPr>
            <w:tcW w:w="462" w:type="dxa"/>
          </w:tcPr>
          <w:p w14:paraId="12B45DEA" w14:textId="527FDB3E" w:rsidR="009B6D5F" w:rsidRPr="009B6D5F" w:rsidRDefault="00000000" w:rsidP="009B6D5F">
            <w:pPr>
              <w:pStyle w:val="ChecklistBasis"/>
            </w:pPr>
            <w:sdt>
              <w:sdtPr>
                <w:id w:val="1888374838"/>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12B45DEB" w14:textId="4BE1A8BF" w:rsidR="009B6D5F" w:rsidRPr="00AE509F" w:rsidRDefault="009B6D5F" w:rsidP="009B6D5F">
            <w:pPr>
              <w:pStyle w:val="StatementLevel1"/>
            </w:pPr>
            <w:r>
              <w:t xml:space="preserve">The investigator will obtain the legally effective informed consent of the subject or LAR. </w:t>
            </w:r>
          </w:p>
        </w:tc>
      </w:tr>
      <w:tr w:rsidR="009B6D5F" w:rsidRPr="00AE509F" w14:paraId="12B45DEF" w14:textId="77777777" w:rsidTr="005E03C1">
        <w:tblPrEx>
          <w:tblCellMar>
            <w:left w:w="115" w:type="dxa"/>
            <w:right w:w="115" w:type="dxa"/>
          </w:tblCellMar>
        </w:tblPrEx>
        <w:trPr>
          <w:cantSplit/>
        </w:trPr>
        <w:tc>
          <w:tcPr>
            <w:tcW w:w="462" w:type="dxa"/>
          </w:tcPr>
          <w:p w14:paraId="12B45DED" w14:textId="25726BBD" w:rsidR="009B6D5F" w:rsidRPr="009B6D5F" w:rsidRDefault="00000000" w:rsidP="009B6D5F">
            <w:pPr>
              <w:pStyle w:val="ChecklistBasis"/>
            </w:pPr>
            <w:sdt>
              <w:sdtPr>
                <w:id w:val="-1716199594"/>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12B45DEE" w14:textId="17E627C9" w:rsidR="009B6D5F" w:rsidRPr="00AE509F" w:rsidRDefault="009B6D5F" w:rsidP="009B6D5F">
            <w:pPr>
              <w:pStyle w:val="StatementLevel1"/>
            </w:pPr>
            <w:r>
              <w:t>The circumstances of consent provide the prospective subject or LAR sufficient opportunity to consider whether or not to participate and that minimize the possibility of coercion or undue influence</w:t>
            </w:r>
            <w:r w:rsidRPr="00AE509F">
              <w:t xml:space="preserve"> </w:t>
            </w:r>
          </w:p>
        </w:tc>
      </w:tr>
      <w:tr w:rsidR="009B6D5F" w:rsidRPr="00AE509F" w14:paraId="4EA9E14B" w14:textId="77777777" w:rsidTr="005E03C1">
        <w:tblPrEx>
          <w:tblCellMar>
            <w:left w:w="115" w:type="dxa"/>
            <w:right w:w="115" w:type="dxa"/>
          </w:tblCellMar>
        </w:tblPrEx>
        <w:trPr>
          <w:cantSplit/>
        </w:trPr>
        <w:tc>
          <w:tcPr>
            <w:tcW w:w="462" w:type="dxa"/>
          </w:tcPr>
          <w:p w14:paraId="7E936CFC" w14:textId="1D019566" w:rsidR="009B6D5F" w:rsidRPr="009B6D5F" w:rsidRDefault="00000000" w:rsidP="009B6D5F">
            <w:pPr>
              <w:pStyle w:val="ChecklistBasis"/>
            </w:pPr>
            <w:sdt>
              <w:sdtPr>
                <w:id w:val="-1974894329"/>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78C8E944" w14:textId="3A68F0B8" w:rsidR="009B6D5F" w:rsidRDefault="009B6D5F" w:rsidP="009B6D5F">
            <w:pPr>
              <w:pStyle w:val="StatementLevel1"/>
            </w:pPr>
            <w:r>
              <w:t>Information to be given to the subject or LAR will be in language understandable to the subject or LAR.</w:t>
            </w:r>
          </w:p>
        </w:tc>
      </w:tr>
      <w:tr w:rsidR="009B6D5F" w:rsidRPr="00AE509F" w14:paraId="0BB65C8E" w14:textId="77777777" w:rsidTr="005E03C1">
        <w:tblPrEx>
          <w:tblCellMar>
            <w:left w:w="115" w:type="dxa"/>
            <w:right w:w="115" w:type="dxa"/>
          </w:tblCellMar>
        </w:tblPrEx>
        <w:trPr>
          <w:cantSplit/>
        </w:trPr>
        <w:tc>
          <w:tcPr>
            <w:tcW w:w="462" w:type="dxa"/>
          </w:tcPr>
          <w:p w14:paraId="246AF432" w14:textId="6E62CB33" w:rsidR="009B6D5F" w:rsidRPr="009B6D5F" w:rsidRDefault="00000000" w:rsidP="009B6D5F">
            <w:pPr>
              <w:pStyle w:val="ChecklistBasis"/>
            </w:pPr>
            <w:sdt>
              <w:sdtPr>
                <w:id w:val="186978746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3626DB43" w14:textId="731513DA" w:rsidR="009B6D5F" w:rsidRDefault="009B6D5F" w:rsidP="009B6D5F">
            <w:pPr>
              <w:pStyle w:val="StatementLevel1"/>
            </w:pPr>
            <w:r>
              <w:t>The subject or LAR must be provided with the information that a reasonable person would want to have in order to make an informed decision about whether to participate, and an opportunity to discuss that information.</w:t>
            </w:r>
          </w:p>
        </w:tc>
      </w:tr>
      <w:tr w:rsidR="009B6D5F" w:rsidRPr="00AE509F" w14:paraId="6CC15ED4" w14:textId="77777777" w:rsidTr="005E03C1">
        <w:tblPrEx>
          <w:tblCellMar>
            <w:left w:w="115" w:type="dxa"/>
            <w:right w:w="115" w:type="dxa"/>
          </w:tblCellMar>
        </w:tblPrEx>
        <w:trPr>
          <w:cantSplit/>
        </w:trPr>
        <w:tc>
          <w:tcPr>
            <w:tcW w:w="462" w:type="dxa"/>
          </w:tcPr>
          <w:p w14:paraId="250975E9" w14:textId="33ED78FE" w:rsidR="009B6D5F" w:rsidRPr="009B6D5F" w:rsidRDefault="00000000" w:rsidP="009B6D5F">
            <w:pPr>
              <w:pStyle w:val="ChecklistBasis"/>
            </w:pPr>
            <w:sdt>
              <w:sdtPr>
                <w:id w:val="516277193"/>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76FD415C" w14:textId="724D0DCB" w:rsidR="009B6D5F" w:rsidRDefault="009B6D5F" w:rsidP="009B6D5F">
            <w:pPr>
              <w:pStyle w:val="StatementLevel1"/>
            </w:pPr>
            <w:r>
              <w:t>There is no exculpatory language through which the subject or LAR is made to waive or appear to waive the subject’s legal rights, or releases or appears to release the investigator, the sponsor, the institution, or its agents from liability from negligence.</w:t>
            </w:r>
          </w:p>
        </w:tc>
      </w:tr>
      <w:tr w:rsidR="00FA7596" w:rsidRPr="00AE509F" w14:paraId="7A034F03" w14:textId="77777777" w:rsidTr="00BF15C4">
        <w:tblPrEx>
          <w:tblCellMar>
            <w:left w:w="115" w:type="dxa"/>
            <w:right w:w="115" w:type="dxa"/>
          </w:tblCellMar>
        </w:tblPrEx>
        <w:trPr>
          <w:cantSplit/>
        </w:trPr>
        <w:tc>
          <w:tcPr>
            <w:tcW w:w="10790" w:type="dxa"/>
            <w:gridSpan w:val="2"/>
          </w:tcPr>
          <w:p w14:paraId="49631AAE" w14:textId="0EF3BA7A" w:rsidR="00FA7596" w:rsidRPr="00FA7596" w:rsidRDefault="00FA7596" w:rsidP="00E770D8">
            <w:pPr>
              <w:pStyle w:val="StatementLevel1"/>
              <w:rPr>
                <w:b/>
              </w:rPr>
            </w:pPr>
            <w:r w:rsidRPr="00FA7596">
              <w:rPr>
                <w:b/>
              </w:rPr>
              <w:t>Elements of Broad Consent Disclosure</w:t>
            </w:r>
          </w:p>
        </w:tc>
      </w:tr>
      <w:tr w:rsidR="009B6D5F" w:rsidRPr="00AE509F" w14:paraId="2B425858" w14:textId="77777777" w:rsidTr="005E03C1">
        <w:tblPrEx>
          <w:tblCellMar>
            <w:left w:w="115" w:type="dxa"/>
            <w:right w:w="115" w:type="dxa"/>
          </w:tblCellMar>
        </w:tblPrEx>
        <w:trPr>
          <w:cantSplit/>
        </w:trPr>
        <w:tc>
          <w:tcPr>
            <w:tcW w:w="462" w:type="dxa"/>
          </w:tcPr>
          <w:p w14:paraId="3F7DE2F2" w14:textId="06C80184" w:rsidR="009B6D5F" w:rsidRPr="009B6D5F" w:rsidRDefault="00000000" w:rsidP="009B6D5F">
            <w:pPr>
              <w:pStyle w:val="ChecklistBasis"/>
            </w:pPr>
            <w:sdt>
              <w:sdtPr>
                <w:id w:val="2074850095"/>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5B782578" w14:textId="2D475B50" w:rsidR="009B6D5F" w:rsidRDefault="009B6D5F" w:rsidP="009B6D5F">
            <w:pPr>
              <w:pStyle w:val="StatementLevel1"/>
            </w:pPr>
            <w:r>
              <w:t>A description of any reasonably foreseeable risks or discomforts to the subject.</w:t>
            </w:r>
          </w:p>
        </w:tc>
      </w:tr>
      <w:tr w:rsidR="009B6D5F" w:rsidRPr="00AE509F" w14:paraId="25D16167" w14:textId="77777777" w:rsidTr="005E03C1">
        <w:tblPrEx>
          <w:tblCellMar>
            <w:left w:w="115" w:type="dxa"/>
            <w:right w:w="115" w:type="dxa"/>
          </w:tblCellMar>
        </w:tblPrEx>
        <w:trPr>
          <w:cantSplit/>
        </w:trPr>
        <w:tc>
          <w:tcPr>
            <w:tcW w:w="462" w:type="dxa"/>
          </w:tcPr>
          <w:p w14:paraId="31A32566" w14:textId="25BD5B43" w:rsidR="009B6D5F" w:rsidRPr="009B6D5F" w:rsidRDefault="00000000" w:rsidP="009B6D5F">
            <w:pPr>
              <w:pStyle w:val="ChecklistBasis"/>
            </w:pPr>
            <w:sdt>
              <w:sdtPr>
                <w:id w:val="16852638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5ADE8641" w14:textId="4C04AE90" w:rsidR="009B6D5F" w:rsidRDefault="009B6D5F" w:rsidP="009B6D5F">
            <w:pPr>
              <w:pStyle w:val="StatementLevel1"/>
            </w:pPr>
            <w:r>
              <w:t>A description of any benefits to the subject or to others that may reasonably be expected from the research.</w:t>
            </w:r>
          </w:p>
        </w:tc>
      </w:tr>
      <w:tr w:rsidR="009B6D5F" w:rsidRPr="00AE509F" w14:paraId="4E895C24" w14:textId="77777777" w:rsidTr="005E03C1">
        <w:tblPrEx>
          <w:tblCellMar>
            <w:left w:w="115" w:type="dxa"/>
            <w:right w:w="115" w:type="dxa"/>
          </w:tblCellMar>
        </w:tblPrEx>
        <w:trPr>
          <w:cantSplit/>
        </w:trPr>
        <w:tc>
          <w:tcPr>
            <w:tcW w:w="462" w:type="dxa"/>
          </w:tcPr>
          <w:p w14:paraId="59E10D71" w14:textId="0AA8B714" w:rsidR="009B6D5F" w:rsidRPr="009B6D5F" w:rsidRDefault="00000000" w:rsidP="009B6D5F">
            <w:pPr>
              <w:pStyle w:val="ChecklistBasis"/>
            </w:pPr>
            <w:sdt>
              <w:sdtPr>
                <w:id w:val="1378512456"/>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29CD92E6" w14:textId="049CA417" w:rsidR="009B6D5F" w:rsidRDefault="009B6D5F" w:rsidP="009B6D5F">
            <w:pPr>
              <w:pStyle w:val="StatementLevel1"/>
            </w:pPr>
            <w:r>
              <w:t>A statement describing the extent, if any, to which confidentiality of records identifying the subject will be maintained.</w:t>
            </w:r>
          </w:p>
        </w:tc>
      </w:tr>
      <w:tr w:rsidR="009B6D5F" w:rsidRPr="00AE509F" w14:paraId="04B4D851" w14:textId="77777777" w:rsidTr="005E03C1">
        <w:tblPrEx>
          <w:tblCellMar>
            <w:left w:w="115" w:type="dxa"/>
            <w:right w:w="115" w:type="dxa"/>
          </w:tblCellMar>
        </w:tblPrEx>
        <w:trPr>
          <w:cantSplit/>
        </w:trPr>
        <w:tc>
          <w:tcPr>
            <w:tcW w:w="462" w:type="dxa"/>
          </w:tcPr>
          <w:p w14:paraId="535CC7EA" w14:textId="0889ABDB" w:rsidR="009B6D5F" w:rsidRPr="009B6D5F" w:rsidRDefault="00000000" w:rsidP="009B6D5F">
            <w:pPr>
              <w:pStyle w:val="ChecklistBasis"/>
            </w:pPr>
            <w:sdt>
              <w:sdtPr>
                <w:id w:val="1966619181"/>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296E3A07" w14:textId="3A403F8F" w:rsidR="009B6D5F" w:rsidRDefault="009B6D5F" w:rsidP="009B6D5F">
            <w:pPr>
              <w:pStyle w:val="StatementLevel1"/>
            </w:pPr>
            <w: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tc>
      </w:tr>
      <w:tr w:rsidR="009B6D5F" w:rsidRPr="00AE509F" w14:paraId="2BDF9FBE" w14:textId="77777777" w:rsidTr="005E03C1">
        <w:tblPrEx>
          <w:tblCellMar>
            <w:left w:w="115" w:type="dxa"/>
            <w:right w:w="115" w:type="dxa"/>
          </w:tblCellMar>
        </w:tblPrEx>
        <w:trPr>
          <w:cantSplit/>
        </w:trPr>
        <w:tc>
          <w:tcPr>
            <w:tcW w:w="462" w:type="dxa"/>
          </w:tcPr>
          <w:p w14:paraId="7C74A2E4" w14:textId="718CB3AE" w:rsidR="009B6D5F" w:rsidRPr="009B6D5F" w:rsidRDefault="00000000" w:rsidP="009B6D5F">
            <w:pPr>
              <w:pStyle w:val="ChecklistBasis"/>
            </w:pPr>
            <w:sdt>
              <w:sdtPr>
                <w:id w:val="1297573286"/>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2199FF30" w14:textId="1CE23E2F" w:rsidR="009B6D5F" w:rsidRDefault="009B6D5F" w:rsidP="009B6D5F">
            <w:pPr>
              <w:pStyle w:val="StatementLevel1"/>
            </w:pPr>
            <w:r>
              <w:t xml:space="preserve">A statement that the subject’s biospecimens (even if identifiers are removed) may be used for commercial profit and whether the subject will or will not share in this commercial profit </w:t>
            </w:r>
            <w:r w:rsidRPr="00FA7596">
              <w:rPr>
                <w:b/>
              </w:rPr>
              <w:t>(N/A if not using biospecimens</w:t>
            </w:r>
            <w:r w:rsidR="00D56C1C">
              <w:rPr>
                <w:b/>
              </w:rPr>
              <w:t xml:space="preserve"> </w:t>
            </w:r>
            <w:sdt>
              <w:sdtPr>
                <w:rPr>
                  <w:b/>
                </w:rPr>
                <w:id w:val="1439408093"/>
                <w14:checkbox>
                  <w14:checked w14:val="0"/>
                  <w14:checkedState w14:val="2612" w14:font="MS Gothic"/>
                  <w14:uncheckedState w14:val="2610" w14:font="MS Gothic"/>
                </w14:checkbox>
              </w:sdtPr>
              <w:sdtContent>
                <w:r w:rsidR="00D56C1C">
                  <w:rPr>
                    <w:rFonts w:ascii="MS Gothic" w:eastAsia="MS Gothic" w:hAnsi="MS Gothic" w:hint="eastAsia"/>
                  </w:rPr>
                  <w:t>☐</w:t>
                </w:r>
              </w:sdtContent>
            </w:sdt>
            <w:r w:rsidRPr="00FA7596">
              <w:rPr>
                <w:b/>
              </w:rPr>
              <w:t>)</w:t>
            </w:r>
          </w:p>
        </w:tc>
      </w:tr>
      <w:tr w:rsidR="009B6D5F" w:rsidRPr="00AE509F" w14:paraId="5C34F3DB" w14:textId="77777777" w:rsidTr="005E03C1">
        <w:tblPrEx>
          <w:tblCellMar>
            <w:left w:w="115" w:type="dxa"/>
            <w:right w:w="115" w:type="dxa"/>
          </w:tblCellMar>
        </w:tblPrEx>
        <w:trPr>
          <w:cantSplit/>
        </w:trPr>
        <w:tc>
          <w:tcPr>
            <w:tcW w:w="462" w:type="dxa"/>
          </w:tcPr>
          <w:p w14:paraId="42D1A498" w14:textId="2C86083E" w:rsidR="009B6D5F" w:rsidRPr="009B6D5F" w:rsidRDefault="00000000" w:rsidP="009B6D5F">
            <w:pPr>
              <w:pStyle w:val="ChecklistBasis"/>
            </w:pPr>
            <w:sdt>
              <w:sdtPr>
                <w:id w:val="1060057000"/>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7FA44696" w14:textId="04D78974" w:rsidR="009B6D5F" w:rsidRDefault="009B6D5F" w:rsidP="009B6D5F">
            <w:pPr>
              <w:pStyle w:val="StatementLevel1"/>
            </w:pPr>
            <w:r>
              <w:t xml:space="preserve">For research involving biospecimens, whether the research will (if known) or might include whole genome sequencing (i.e., sequencing of a human germline or somatic specimen with the intent to generate the genome or exome sequence of that specimen) </w:t>
            </w:r>
            <w:r w:rsidRPr="00FA7596">
              <w:rPr>
                <w:b/>
              </w:rPr>
              <w:t>(N/A if not using biospecimens</w:t>
            </w:r>
            <w:r w:rsidR="00D56C1C">
              <w:rPr>
                <w:b/>
              </w:rPr>
              <w:t xml:space="preserve"> </w:t>
            </w:r>
            <w:sdt>
              <w:sdtPr>
                <w:rPr>
                  <w:b/>
                </w:rPr>
                <w:id w:val="1656801654"/>
                <w14:checkbox>
                  <w14:checked w14:val="0"/>
                  <w14:checkedState w14:val="2612" w14:font="MS Gothic"/>
                  <w14:uncheckedState w14:val="2610" w14:font="MS Gothic"/>
                </w14:checkbox>
              </w:sdtPr>
              <w:sdtContent>
                <w:r w:rsidR="00D56C1C">
                  <w:rPr>
                    <w:rFonts w:ascii="MS Gothic" w:eastAsia="MS Gothic" w:hAnsi="MS Gothic" w:hint="eastAsia"/>
                  </w:rPr>
                  <w:t>☐</w:t>
                </w:r>
              </w:sdtContent>
            </w:sdt>
            <w:r w:rsidRPr="00FA7596">
              <w:rPr>
                <w:b/>
              </w:rPr>
              <w:t>)</w:t>
            </w:r>
          </w:p>
        </w:tc>
      </w:tr>
      <w:tr w:rsidR="009B6D5F" w:rsidRPr="00AE509F" w14:paraId="281AC846" w14:textId="77777777" w:rsidTr="005E03C1">
        <w:tblPrEx>
          <w:tblCellMar>
            <w:left w:w="115" w:type="dxa"/>
            <w:right w:w="115" w:type="dxa"/>
          </w:tblCellMar>
        </w:tblPrEx>
        <w:trPr>
          <w:cantSplit/>
        </w:trPr>
        <w:tc>
          <w:tcPr>
            <w:tcW w:w="462" w:type="dxa"/>
          </w:tcPr>
          <w:p w14:paraId="0B5ED315" w14:textId="31864033" w:rsidR="009B6D5F" w:rsidRPr="009B6D5F" w:rsidRDefault="00000000" w:rsidP="009B6D5F">
            <w:pPr>
              <w:pStyle w:val="ChecklistBasis"/>
            </w:pPr>
            <w:sdt>
              <w:sdtPr>
                <w:id w:val="95852782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4FD48C64" w14:textId="37C6438B" w:rsidR="009B6D5F" w:rsidRDefault="009B6D5F" w:rsidP="009B6D5F">
            <w:pPr>
              <w:pStyle w:val="StatementLevel1"/>
            </w:pPr>
            <w:r>
              <w:t>A general description of the types of research that may be conducted with the identifiable private information or identifiable biospecimens. This description must include sufficient information such that a reasonable person would expect that the broad consent would permit the types of research conducted</w:t>
            </w:r>
          </w:p>
        </w:tc>
      </w:tr>
      <w:tr w:rsidR="009B6D5F" w:rsidRPr="00AE509F" w14:paraId="5EBDC521" w14:textId="77777777" w:rsidTr="005E03C1">
        <w:tblPrEx>
          <w:tblCellMar>
            <w:left w:w="115" w:type="dxa"/>
            <w:right w:w="115" w:type="dxa"/>
          </w:tblCellMar>
        </w:tblPrEx>
        <w:trPr>
          <w:cantSplit/>
        </w:trPr>
        <w:tc>
          <w:tcPr>
            <w:tcW w:w="462" w:type="dxa"/>
          </w:tcPr>
          <w:p w14:paraId="1F6A0127" w14:textId="1EBF76E7" w:rsidR="009B6D5F" w:rsidRPr="009B6D5F" w:rsidRDefault="00000000" w:rsidP="009B6D5F">
            <w:pPr>
              <w:pStyle w:val="ChecklistBasis"/>
            </w:pPr>
            <w:sdt>
              <w:sdtPr>
                <w:id w:val="2046400703"/>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40BAF109" w14:textId="0FB449BE" w:rsidR="009B6D5F" w:rsidRDefault="009B6D5F" w:rsidP="009B6D5F">
            <w:pPr>
              <w:pStyle w:val="StatementLevel1"/>
            </w:pPr>
            <w:r>
              <w:t>A description of the identifiable private information or identifiable biospecimens that might be used in research, whether sharing of identifiable private information or identifiable biospecimens might occur, and the types of institutions or researchers that might conduct research with the identifiable private information or identifiable biospecimens</w:t>
            </w:r>
          </w:p>
        </w:tc>
      </w:tr>
      <w:tr w:rsidR="009B6D5F" w:rsidRPr="00AE509F" w14:paraId="19B7E197" w14:textId="77777777" w:rsidTr="005E03C1">
        <w:tblPrEx>
          <w:tblCellMar>
            <w:left w:w="115" w:type="dxa"/>
            <w:right w:w="115" w:type="dxa"/>
          </w:tblCellMar>
        </w:tblPrEx>
        <w:trPr>
          <w:cantSplit/>
        </w:trPr>
        <w:tc>
          <w:tcPr>
            <w:tcW w:w="462" w:type="dxa"/>
          </w:tcPr>
          <w:p w14:paraId="1322F94A" w14:textId="73ECA5BB" w:rsidR="009B6D5F" w:rsidRPr="009B6D5F" w:rsidRDefault="00000000" w:rsidP="009B6D5F">
            <w:pPr>
              <w:pStyle w:val="ChecklistBasis"/>
            </w:pPr>
            <w:sdt>
              <w:sdtPr>
                <w:id w:val="485906369"/>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3FC23D56" w14:textId="0EAA3278" w:rsidR="009B6D5F" w:rsidRDefault="009B6D5F" w:rsidP="009B6D5F">
            <w:pPr>
              <w:pStyle w:val="StatementLevel1"/>
            </w:pPr>
            <w:r>
              <w:t>A description of the period of time that the identifiable private information or identifiable biospecimens may be stored and maintained (which period of time could be indefinite), and a description of the period of time that the identifiable private information or identifiable biospecimens may be used for research purposes (which period of time could be indefinite)</w:t>
            </w:r>
          </w:p>
        </w:tc>
      </w:tr>
      <w:tr w:rsidR="009B6D5F" w:rsidRPr="00AE509F" w14:paraId="6D3AD706" w14:textId="77777777" w:rsidTr="005E03C1">
        <w:tblPrEx>
          <w:tblCellMar>
            <w:left w:w="115" w:type="dxa"/>
            <w:right w:w="115" w:type="dxa"/>
          </w:tblCellMar>
        </w:tblPrEx>
        <w:trPr>
          <w:cantSplit/>
        </w:trPr>
        <w:tc>
          <w:tcPr>
            <w:tcW w:w="462" w:type="dxa"/>
          </w:tcPr>
          <w:p w14:paraId="723B802A" w14:textId="0A67594A" w:rsidR="009B6D5F" w:rsidRPr="009B6D5F" w:rsidRDefault="00000000" w:rsidP="009B6D5F">
            <w:pPr>
              <w:pStyle w:val="ChecklistBasis"/>
            </w:pPr>
            <w:sdt>
              <w:sdtPr>
                <w:id w:val="-874764173"/>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6FB0D07A" w14:textId="1A16D102" w:rsidR="009B6D5F" w:rsidRDefault="009B6D5F" w:rsidP="009B6D5F">
            <w:pPr>
              <w:pStyle w:val="StatementLevel1"/>
            </w:pPr>
            <w:r>
              <w:t xml:space="preserve">Unless the subject or LAR will be provided details about specific research studies, a statement that they will not be informed of the details of any specific research studies that might be conducted using the subject’s identifiable private information or identifiable biospecimens, including the purposes of the research, and that they might have chosen not to consent to some of those specific research studies </w:t>
            </w:r>
            <w:r w:rsidRPr="00FA7596">
              <w:rPr>
                <w:b/>
              </w:rPr>
              <w:t xml:space="preserve">(N/A if </w:t>
            </w:r>
            <w:r>
              <w:rPr>
                <w:b/>
              </w:rPr>
              <w:t>subjects will be provided details about specific research studies</w:t>
            </w:r>
            <w:r w:rsidR="00D56C1C">
              <w:rPr>
                <w:b/>
              </w:rPr>
              <w:t xml:space="preserve"> </w:t>
            </w:r>
            <w:sdt>
              <w:sdtPr>
                <w:rPr>
                  <w:b/>
                </w:rPr>
                <w:id w:val="1093360856"/>
                <w14:checkbox>
                  <w14:checked w14:val="0"/>
                  <w14:checkedState w14:val="2612" w14:font="MS Gothic"/>
                  <w14:uncheckedState w14:val="2610" w14:font="MS Gothic"/>
                </w14:checkbox>
              </w:sdtPr>
              <w:sdtContent>
                <w:r w:rsidR="00D56C1C">
                  <w:rPr>
                    <w:rFonts w:ascii="MS Gothic" w:eastAsia="MS Gothic" w:hAnsi="MS Gothic" w:hint="eastAsia"/>
                  </w:rPr>
                  <w:t>☐</w:t>
                </w:r>
              </w:sdtContent>
            </w:sdt>
            <w:r w:rsidRPr="00FA7596">
              <w:rPr>
                <w:b/>
              </w:rPr>
              <w:t>)</w:t>
            </w:r>
          </w:p>
        </w:tc>
      </w:tr>
      <w:tr w:rsidR="009B6D5F" w:rsidRPr="00AE509F" w14:paraId="6E9595E9" w14:textId="77777777" w:rsidTr="005E03C1">
        <w:tblPrEx>
          <w:tblCellMar>
            <w:left w:w="115" w:type="dxa"/>
            <w:right w:w="115" w:type="dxa"/>
          </w:tblCellMar>
        </w:tblPrEx>
        <w:trPr>
          <w:cantSplit/>
        </w:trPr>
        <w:tc>
          <w:tcPr>
            <w:tcW w:w="462" w:type="dxa"/>
          </w:tcPr>
          <w:p w14:paraId="1EE4A278" w14:textId="0F46055C" w:rsidR="009B6D5F" w:rsidRPr="009B6D5F" w:rsidRDefault="00000000" w:rsidP="009B6D5F">
            <w:pPr>
              <w:pStyle w:val="ChecklistBasis"/>
            </w:pPr>
            <w:sdt>
              <w:sdtPr>
                <w:id w:val="-1294822927"/>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44398AFB" w14:textId="1F08EB07" w:rsidR="009B6D5F" w:rsidRDefault="009B6D5F" w:rsidP="009B6D5F">
            <w:pPr>
              <w:pStyle w:val="StatementLevel1"/>
            </w:pPr>
            <w:r>
              <w:t xml:space="preserve">Unless it is known that clinically relevant research results, including individual research results, will be disclosed to the subject in all circumstances, a statement that such results may not be disclosed to the subject </w:t>
            </w:r>
            <w:r w:rsidRPr="00FA7596">
              <w:rPr>
                <w:b/>
              </w:rPr>
              <w:t xml:space="preserve">(N/A if </w:t>
            </w:r>
            <w:r>
              <w:rPr>
                <w:b/>
              </w:rPr>
              <w:t>research results will be disclosed to subjects in all circumstances</w:t>
            </w:r>
            <w:r w:rsidR="00D56C1C">
              <w:rPr>
                <w:b/>
              </w:rPr>
              <w:t xml:space="preserve"> </w:t>
            </w:r>
            <w:sdt>
              <w:sdtPr>
                <w:rPr>
                  <w:b/>
                </w:rPr>
                <w:id w:val="917524886"/>
                <w14:checkbox>
                  <w14:checked w14:val="0"/>
                  <w14:checkedState w14:val="2612" w14:font="MS Gothic"/>
                  <w14:uncheckedState w14:val="2610" w14:font="MS Gothic"/>
                </w14:checkbox>
              </w:sdtPr>
              <w:sdtContent>
                <w:r w:rsidR="00D56C1C">
                  <w:rPr>
                    <w:rFonts w:ascii="MS Gothic" w:eastAsia="MS Gothic" w:hAnsi="MS Gothic" w:hint="eastAsia"/>
                  </w:rPr>
                  <w:t>☐</w:t>
                </w:r>
              </w:sdtContent>
            </w:sdt>
            <w:r w:rsidRPr="00FA7596">
              <w:rPr>
                <w:b/>
              </w:rPr>
              <w:t>)</w:t>
            </w:r>
          </w:p>
        </w:tc>
      </w:tr>
      <w:tr w:rsidR="009B6D5F" w:rsidRPr="00AE509F" w14:paraId="6E76536C" w14:textId="77777777" w:rsidTr="005E03C1">
        <w:tblPrEx>
          <w:tblCellMar>
            <w:left w:w="115" w:type="dxa"/>
            <w:right w:w="115" w:type="dxa"/>
          </w:tblCellMar>
        </w:tblPrEx>
        <w:trPr>
          <w:cantSplit/>
        </w:trPr>
        <w:tc>
          <w:tcPr>
            <w:tcW w:w="462" w:type="dxa"/>
          </w:tcPr>
          <w:p w14:paraId="3C4519FA" w14:textId="1D82021C" w:rsidR="009B6D5F" w:rsidRPr="009B6D5F" w:rsidRDefault="00000000" w:rsidP="009B6D5F">
            <w:pPr>
              <w:pStyle w:val="ChecklistBasis"/>
            </w:pPr>
            <w:sdt>
              <w:sdtPr>
                <w:id w:val="-1713487828"/>
                <w14:checkbox>
                  <w14:checked w14:val="0"/>
                  <w14:checkedState w14:val="2612" w14:font="MS Gothic"/>
                  <w14:uncheckedState w14:val="2610" w14:font="MS Gothic"/>
                </w14:checkbox>
              </w:sdtPr>
              <w:sdtContent>
                <w:r w:rsidR="009B6D5F" w:rsidRPr="009B6D5F">
                  <w:rPr>
                    <w:rFonts w:ascii="MS Gothic" w:eastAsia="MS Gothic" w:hAnsi="MS Gothic" w:hint="eastAsia"/>
                  </w:rPr>
                  <w:t>☐</w:t>
                </w:r>
              </w:sdtContent>
            </w:sdt>
          </w:p>
        </w:tc>
        <w:tc>
          <w:tcPr>
            <w:tcW w:w="10328" w:type="dxa"/>
          </w:tcPr>
          <w:p w14:paraId="420254A7" w14:textId="44106DC6" w:rsidR="009B6D5F" w:rsidRDefault="009B6D5F" w:rsidP="009B6D5F">
            <w:pPr>
              <w:pStyle w:val="StatementLevel1"/>
            </w:pPr>
            <w:r>
              <w:t>An explanation of whom to contact for answers to questions about the subject’s rights and about storage and use of the subject’s identifiable private information or identifiable biospecimens, and whom to contact in the event of a research-related harm</w:t>
            </w:r>
          </w:p>
        </w:tc>
      </w:tr>
      <w:tr w:rsidR="00BF15C4" w:rsidRPr="00AE509F" w14:paraId="5E77BAC1" w14:textId="77777777" w:rsidTr="00BF15C4">
        <w:tblPrEx>
          <w:tblCellMar>
            <w:left w:w="115" w:type="dxa"/>
            <w:right w:w="115" w:type="dxa"/>
          </w:tblCellMar>
        </w:tblPrEx>
        <w:trPr>
          <w:cantSplit/>
          <w:trHeight w:hRule="exact" w:val="72"/>
        </w:trPr>
        <w:tc>
          <w:tcPr>
            <w:tcW w:w="10790" w:type="dxa"/>
            <w:gridSpan w:val="2"/>
            <w:shd w:val="clear" w:color="auto" w:fill="000000" w:themeFill="text1"/>
          </w:tcPr>
          <w:p w14:paraId="7C4F70D2" w14:textId="77777777" w:rsidR="00BF15C4" w:rsidRDefault="00BF15C4" w:rsidP="009B6D5F">
            <w:pPr>
              <w:pStyle w:val="ChecklistBasis"/>
            </w:pPr>
          </w:p>
          <w:p w14:paraId="0A72501A" w14:textId="510D0A42" w:rsidR="00BF15C4" w:rsidRDefault="00BF15C4" w:rsidP="009B6D5F">
            <w:pPr>
              <w:pStyle w:val="StatementLevel1"/>
            </w:pPr>
          </w:p>
        </w:tc>
      </w:tr>
      <w:tr w:rsidR="009B6D5F" w14:paraId="71F4964F" w14:textId="77777777" w:rsidTr="00BF15C4">
        <w:tblPrEx>
          <w:tblCellMar>
            <w:left w:w="115" w:type="dxa"/>
            <w:right w:w="115" w:type="dxa"/>
          </w:tblCellMar>
        </w:tblPrEx>
        <w:tc>
          <w:tcPr>
            <w:tcW w:w="10790" w:type="dxa"/>
            <w:gridSpan w:val="2"/>
            <w:tcBorders>
              <w:top w:val="nil"/>
              <w:left w:val="single" w:sz="4" w:space="0" w:color="auto"/>
              <w:bottom w:val="single" w:sz="4" w:space="0" w:color="auto"/>
              <w:right w:val="single" w:sz="4" w:space="0" w:color="auto"/>
            </w:tcBorders>
            <w:hideMark/>
          </w:tcPr>
          <w:p w14:paraId="6F2B7A02" w14:textId="7F0BBA7D" w:rsidR="009B6D5F" w:rsidRDefault="00756A92" w:rsidP="00756A92">
            <w:pPr>
              <w:pStyle w:val="ChecklistLevel1"/>
            </w:pPr>
            <w:r>
              <w:t xml:space="preserve">Broad Consent </w:t>
            </w:r>
            <w:r w:rsidR="009B6D5F">
              <w:t>Long Form of Consent Documentation (Check if “Yes” or “N/A”. All must be checked)</w:t>
            </w:r>
          </w:p>
        </w:tc>
      </w:tr>
      <w:tr w:rsidR="00464A06" w14:paraId="57031ECD"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4F375101" w14:textId="77777777" w:rsidR="009B6D5F" w:rsidRDefault="00000000">
            <w:pPr>
              <w:pStyle w:val="Yes-No"/>
              <w:rPr>
                <w:b w:val="0"/>
              </w:rPr>
            </w:pPr>
            <w:sdt>
              <w:sdtPr>
                <w:rPr>
                  <w:b w:val="0"/>
                </w:rPr>
                <w:id w:val="-222292353"/>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r w:rsidR="009B6D5F">
              <w:rPr>
                <w:b w:val="0"/>
              </w:rPr>
              <w:t xml:space="preserve"> </w:t>
            </w:r>
          </w:p>
        </w:tc>
        <w:tc>
          <w:tcPr>
            <w:tcW w:w="10328" w:type="dxa"/>
            <w:tcBorders>
              <w:top w:val="nil"/>
              <w:left w:val="single" w:sz="4" w:space="0" w:color="auto"/>
              <w:bottom w:val="single" w:sz="4" w:space="0" w:color="auto"/>
              <w:right w:val="single" w:sz="4" w:space="0" w:color="auto"/>
            </w:tcBorders>
            <w:hideMark/>
          </w:tcPr>
          <w:p w14:paraId="182B7A64" w14:textId="77777777" w:rsidR="009B6D5F" w:rsidRDefault="009B6D5F">
            <w:pPr>
              <w:pStyle w:val="StatementLevel1"/>
              <w:ind w:left="360" w:hanging="360"/>
            </w:pPr>
            <w:r>
              <w:t>The written consent document is accurate, complete, and consistent with the protocol.</w:t>
            </w:r>
          </w:p>
        </w:tc>
      </w:tr>
      <w:tr w:rsidR="00464A06" w14:paraId="03CC7319"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2DC17B76" w14:textId="77777777" w:rsidR="009B6D5F" w:rsidRDefault="00000000">
            <w:pPr>
              <w:pStyle w:val="Yes-No"/>
              <w:rPr>
                <w:b w:val="0"/>
              </w:rPr>
            </w:pPr>
            <w:sdt>
              <w:sdtPr>
                <w:rPr>
                  <w:b w:val="0"/>
                </w:rPr>
                <w:id w:val="1264032409"/>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r w:rsidR="009B6D5F">
              <w:rPr>
                <w:b w:val="0"/>
              </w:rPr>
              <w:t xml:space="preserve"> </w:t>
            </w:r>
          </w:p>
        </w:tc>
        <w:tc>
          <w:tcPr>
            <w:tcW w:w="10328" w:type="dxa"/>
            <w:tcBorders>
              <w:top w:val="nil"/>
              <w:left w:val="single" w:sz="4" w:space="0" w:color="auto"/>
              <w:bottom w:val="single" w:sz="4" w:space="0" w:color="auto"/>
              <w:right w:val="single" w:sz="4" w:space="0" w:color="auto"/>
            </w:tcBorders>
            <w:hideMark/>
          </w:tcPr>
          <w:p w14:paraId="72AA214D" w14:textId="314699E3" w:rsidR="009B6D5F" w:rsidRDefault="009B6D5F">
            <w:pPr>
              <w:pStyle w:val="StatementLevel1"/>
              <w:ind w:left="360" w:hanging="360"/>
            </w:pPr>
            <w:r>
              <w:t xml:space="preserve">The written consent document embodies the elements in </w:t>
            </w:r>
            <w:r w:rsidR="00EC4702">
              <w:rPr>
                <w:b/>
              </w:rPr>
              <w:t>Section 2</w:t>
            </w:r>
            <w:r w:rsidR="00D56C1C">
              <w:rPr>
                <w:b/>
              </w:rPr>
              <w:t>-</w:t>
            </w:r>
            <w:r w:rsidR="00EC4702" w:rsidRPr="00FA7596">
              <w:rPr>
                <w:b/>
              </w:rPr>
              <w:t>Elements of Broad Consent Disclosure</w:t>
            </w:r>
          </w:p>
        </w:tc>
      </w:tr>
      <w:tr w:rsidR="00464A06" w14:paraId="33407B08"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55683DC1" w14:textId="77777777" w:rsidR="009B6D5F" w:rsidRDefault="00000000">
            <w:pPr>
              <w:pStyle w:val="Yes-No"/>
              <w:rPr>
                <w:b w:val="0"/>
              </w:rPr>
            </w:pPr>
            <w:sdt>
              <w:sdtPr>
                <w:rPr>
                  <w:b w:val="0"/>
                </w:rPr>
                <w:id w:val="1183014779"/>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r w:rsidR="009B6D5F">
              <w:rPr>
                <w:b w:val="0"/>
              </w:rPr>
              <w:t xml:space="preserve"> </w:t>
            </w:r>
          </w:p>
        </w:tc>
        <w:tc>
          <w:tcPr>
            <w:tcW w:w="10328" w:type="dxa"/>
            <w:tcBorders>
              <w:top w:val="nil"/>
              <w:left w:val="single" w:sz="4" w:space="0" w:color="auto"/>
              <w:bottom w:val="single" w:sz="4" w:space="0" w:color="auto"/>
              <w:right w:val="single" w:sz="4" w:space="0" w:color="auto"/>
            </w:tcBorders>
            <w:hideMark/>
          </w:tcPr>
          <w:p w14:paraId="1B15ED62" w14:textId="77777777" w:rsidR="009B6D5F" w:rsidRDefault="009B6D5F">
            <w:pPr>
              <w:pStyle w:val="StatementLevel1"/>
              <w:ind w:left="360" w:hanging="360"/>
            </w:pPr>
            <w:r>
              <w:t>The investigator will give either the subject or LAR adequate opportunity to read the consent document before it is signed.</w:t>
            </w:r>
          </w:p>
        </w:tc>
      </w:tr>
      <w:tr w:rsidR="00464A06" w14:paraId="3DAEE527"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4BBC9EBF" w14:textId="77777777" w:rsidR="009B6D5F" w:rsidRDefault="00000000">
            <w:pPr>
              <w:pStyle w:val="Yes-No"/>
              <w:rPr>
                <w:b w:val="0"/>
              </w:rPr>
            </w:pPr>
            <w:sdt>
              <w:sdtPr>
                <w:rPr>
                  <w:b w:val="0"/>
                </w:rPr>
                <w:id w:val="1897845752"/>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r w:rsidR="009B6D5F">
              <w:rPr>
                <w:b w:val="0"/>
              </w:rPr>
              <w:t xml:space="preserve"> </w:t>
            </w:r>
          </w:p>
        </w:tc>
        <w:tc>
          <w:tcPr>
            <w:tcW w:w="10328" w:type="dxa"/>
            <w:tcBorders>
              <w:top w:val="nil"/>
              <w:left w:val="single" w:sz="4" w:space="0" w:color="auto"/>
              <w:bottom w:val="single" w:sz="4" w:space="0" w:color="auto"/>
              <w:right w:val="single" w:sz="4" w:space="0" w:color="auto"/>
            </w:tcBorders>
            <w:hideMark/>
          </w:tcPr>
          <w:p w14:paraId="1E22F21C" w14:textId="77777777" w:rsidR="009B6D5F" w:rsidRDefault="009B6D5F">
            <w:pPr>
              <w:pStyle w:val="StatementLevel1"/>
              <w:ind w:left="360" w:hanging="360"/>
            </w:pPr>
            <w:r>
              <w:t>The subject or LAR will sign and date the consent document.</w:t>
            </w:r>
          </w:p>
        </w:tc>
      </w:tr>
      <w:tr w:rsidR="00464A06" w14:paraId="3D30E409"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7999DFDB" w14:textId="77777777" w:rsidR="009B6D5F" w:rsidRDefault="00000000">
            <w:pPr>
              <w:pStyle w:val="Yes-No"/>
              <w:rPr>
                <w:b w:val="0"/>
              </w:rPr>
            </w:pPr>
            <w:sdt>
              <w:sdtPr>
                <w:rPr>
                  <w:b w:val="0"/>
                </w:rPr>
                <w:id w:val="1069075869"/>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r w:rsidR="009B6D5F">
              <w:rPr>
                <w:b w:val="0"/>
              </w:rPr>
              <w:t xml:space="preserve"> </w:t>
            </w:r>
          </w:p>
        </w:tc>
        <w:tc>
          <w:tcPr>
            <w:tcW w:w="10328" w:type="dxa"/>
            <w:tcBorders>
              <w:top w:val="nil"/>
              <w:left w:val="single" w:sz="4" w:space="0" w:color="auto"/>
              <w:bottom w:val="single" w:sz="4" w:space="0" w:color="auto"/>
              <w:right w:val="single" w:sz="4" w:space="0" w:color="auto"/>
            </w:tcBorders>
            <w:hideMark/>
          </w:tcPr>
          <w:p w14:paraId="1F2DDAD5" w14:textId="77777777" w:rsidR="009B6D5F" w:rsidRDefault="009B6D5F">
            <w:pPr>
              <w:pStyle w:val="StatementLevel1"/>
              <w:ind w:left="360" w:hanging="360"/>
            </w:pPr>
            <w:r>
              <w:t>The person obtaining consent will sign and date the consent document.</w:t>
            </w:r>
          </w:p>
        </w:tc>
      </w:tr>
      <w:tr w:rsidR="00464A06" w14:paraId="601D9BC9"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17A91220" w14:textId="77777777" w:rsidR="009B6D5F" w:rsidRDefault="00000000">
            <w:pPr>
              <w:pStyle w:val="Yes-No"/>
              <w:rPr>
                <w:b w:val="0"/>
              </w:rPr>
            </w:pPr>
            <w:sdt>
              <w:sdtPr>
                <w:rPr>
                  <w:b w:val="0"/>
                </w:rPr>
                <w:id w:val="837654889"/>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4C291BD5" w14:textId="77777777" w:rsidR="009B6D5F" w:rsidRDefault="009B6D5F">
            <w:pPr>
              <w:pStyle w:val="StatementLevel1"/>
              <w:ind w:left="360" w:hanging="360"/>
            </w:pPr>
            <w:r>
              <w:t>A copy of the signed and dated consent document will be given to the person signing the document.</w:t>
            </w:r>
          </w:p>
        </w:tc>
      </w:tr>
      <w:tr w:rsidR="00464A06" w14:paraId="7F97906C"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6AEE4CF4" w14:textId="77777777" w:rsidR="009B6D5F" w:rsidRDefault="00000000">
            <w:pPr>
              <w:pStyle w:val="Yes-No"/>
              <w:rPr>
                <w:b w:val="0"/>
              </w:rPr>
            </w:pPr>
            <w:sdt>
              <w:sdtPr>
                <w:rPr>
                  <w:b w:val="0"/>
                </w:rPr>
                <w:id w:val="-1547433531"/>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530B0BCC" w14:textId="77777777" w:rsidR="009B6D5F" w:rsidRDefault="009B6D5F">
            <w:pPr>
              <w:pStyle w:val="StatementLevel1"/>
            </w:pPr>
            <w:r>
              <w:rPr>
                <w:rFonts w:cs="Arial Narrow"/>
              </w:rPr>
              <w:t>If there is an LAR or parent signature line, the IRB has approved inclusion of adults unable to consent or children.</w:t>
            </w:r>
            <w:r>
              <w:t xml:space="preserve"> </w:t>
            </w:r>
          </w:p>
          <w:p w14:paraId="69D08552" w14:textId="77777777" w:rsidR="009B6D5F" w:rsidRDefault="009B6D5F">
            <w:pPr>
              <w:pStyle w:val="StatementLevel1"/>
            </w:pPr>
            <w:r>
              <w:rPr>
                <w:b/>
              </w:rPr>
              <w:t xml:space="preserve">(N/A if no signature line </w:t>
            </w:r>
            <w:sdt>
              <w:sdtPr>
                <w:rPr>
                  <w:b/>
                </w:rPr>
                <w:id w:val="-161005646"/>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p>
        </w:tc>
      </w:tr>
      <w:tr w:rsidR="00464A06" w14:paraId="40E8B4CC"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748C862D" w14:textId="77777777" w:rsidR="009B6D5F" w:rsidRDefault="00000000">
            <w:pPr>
              <w:pStyle w:val="Yes-No"/>
              <w:rPr>
                <w:b w:val="0"/>
              </w:rPr>
            </w:pPr>
            <w:sdt>
              <w:sdtPr>
                <w:rPr>
                  <w:b w:val="0"/>
                </w:rPr>
                <w:id w:val="-1950843500"/>
                <w14:checkbox>
                  <w14:checked w14:val="0"/>
                  <w14:checkedState w14:val="2612" w14:font="MS Gothic"/>
                  <w14:uncheckedState w14:val="2610" w14:font="MS Gothic"/>
                </w14:checkbox>
              </w:sdtPr>
              <w:sdtContent>
                <w:r w:rsidR="009B6D5F">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4E0471CB" w14:textId="77777777" w:rsidR="009B6D5F" w:rsidRDefault="009B6D5F">
            <w:pPr>
              <w:pStyle w:val="StatementLevel1"/>
            </w:pPr>
            <w:r>
              <w:t>When a subject or LAR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LAR, and that consent was freely given.</w:t>
            </w:r>
          </w:p>
          <w:p w14:paraId="1B8E65EB" w14:textId="77777777" w:rsidR="009B6D5F" w:rsidRDefault="009B6D5F">
            <w:pPr>
              <w:pStyle w:val="StatementLevel1"/>
            </w:pPr>
            <w:r>
              <w:rPr>
                <w:b/>
              </w:rPr>
              <w:t xml:space="preserve">(N/A if all subjects are able to read </w:t>
            </w:r>
            <w:sdt>
              <w:sdtPr>
                <w:rPr>
                  <w:b/>
                </w:rPr>
                <w:id w:val="294032171"/>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p>
        </w:tc>
      </w:tr>
      <w:tr w:rsidR="00BF15C4" w14:paraId="7204CB5F" w14:textId="77777777" w:rsidTr="00BF15C4">
        <w:tblPrEx>
          <w:tblCellMar>
            <w:left w:w="115" w:type="dxa"/>
            <w:right w:w="115" w:type="dxa"/>
          </w:tblCellMar>
        </w:tblPrEx>
        <w:trPr>
          <w:trHeight w:hRule="exact" w:val="72"/>
        </w:trPr>
        <w:tc>
          <w:tcPr>
            <w:tcW w:w="10790" w:type="dxa"/>
            <w:gridSpan w:val="2"/>
            <w:tcBorders>
              <w:top w:val="nil"/>
              <w:left w:val="single" w:sz="4" w:space="0" w:color="auto"/>
              <w:bottom w:val="single" w:sz="4" w:space="0" w:color="auto"/>
              <w:right w:val="single" w:sz="4" w:space="0" w:color="auto"/>
            </w:tcBorders>
            <w:shd w:val="clear" w:color="auto" w:fill="000000" w:themeFill="text1"/>
          </w:tcPr>
          <w:p w14:paraId="001633EC" w14:textId="77777777" w:rsidR="00BF15C4" w:rsidRDefault="00BF15C4">
            <w:pPr>
              <w:pStyle w:val="Yes-No"/>
              <w:rPr>
                <w:b w:val="0"/>
              </w:rPr>
            </w:pPr>
          </w:p>
          <w:p w14:paraId="11FEAB78" w14:textId="6F00785B" w:rsidR="00BF15C4" w:rsidRDefault="00BF15C4">
            <w:pPr>
              <w:pStyle w:val="StatementLevel1"/>
            </w:pPr>
          </w:p>
        </w:tc>
      </w:tr>
      <w:tr w:rsidR="00464A06" w14:paraId="18970947" w14:textId="77777777" w:rsidTr="00BF15C4">
        <w:tblPrEx>
          <w:tblCellMar>
            <w:left w:w="115" w:type="dxa"/>
            <w:right w:w="115" w:type="dxa"/>
          </w:tblCellMar>
        </w:tblPrEx>
        <w:tc>
          <w:tcPr>
            <w:tcW w:w="10790" w:type="dxa"/>
            <w:gridSpan w:val="2"/>
            <w:tcBorders>
              <w:top w:val="nil"/>
              <w:left w:val="single" w:sz="4" w:space="0" w:color="auto"/>
              <w:bottom w:val="single" w:sz="4" w:space="0" w:color="auto"/>
              <w:right w:val="single" w:sz="4" w:space="0" w:color="auto"/>
            </w:tcBorders>
            <w:hideMark/>
          </w:tcPr>
          <w:p w14:paraId="342C0A61" w14:textId="77777777" w:rsidR="00464A06" w:rsidRDefault="00464A06" w:rsidP="00464A06">
            <w:pPr>
              <w:pStyle w:val="ChecklistLevel1"/>
            </w:pPr>
            <w:r>
              <w:t>Additional Considerations for Electronic Consent (Check if “Yes” or “N/A”. All must be checked)</w:t>
            </w:r>
          </w:p>
        </w:tc>
      </w:tr>
      <w:tr w:rsidR="00464A06" w14:paraId="765C7CA2"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754B9AB1" w14:textId="77777777" w:rsidR="00464A06" w:rsidRDefault="00000000">
            <w:pPr>
              <w:pStyle w:val="Yes-No"/>
              <w:rPr>
                <w:b w:val="0"/>
              </w:rPr>
            </w:pPr>
            <w:sdt>
              <w:sdtPr>
                <w:rPr>
                  <w:b w:val="0"/>
                </w:rPr>
                <w:id w:val="2145387286"/>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2545806C" w14:textId="3C1A6E7F" w:rsidR="00464A06" w:rsidRPr="003A147F" w:rsidRDefault="00464A06" w:rsidP="003A147F">
            <w:pPr>
              <w:pStyle w:val="StatementLevel1"/>
              <w:rPr>
                <w:b/>
              </w:rPr>
            </w:pPr>
            <w:r>
              <w:t xml:space="preserve">Electronic consent document includes all elements in </w:t>
            </w:r>
            <w:r w:rsidR="003A147F">
              <w:rPr>
                <w:b/>
              </w:rPr>
              <w:t>Section 2-</w:t>
            </w:r>
            <w:r w:rsidR="003A147F" w:rsidRPr="00FA7596">
              <w:rPr>
                <w:b/>
              </w:rPr>
              <w:t>Elements of Broad Consent Disclosure</w:t>
            </w:r>
          </w:p>
        </w:tc>
      </w:tr>
      <w:tr w:rsidR="00464A06" w14:paraId="249B34F5"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5526450B" w14:textId="77777777" w:rsidR="00464A06" w:rsidRDefault="00000000">
            <w:pPr>
              <w:pStyle w:val="Yes-No"/>
              <w:rPr>
                <w:b w:val="0"/>
              </w:rPr>
            </w:pPr>
            <w:sdt>
              <w:sdtPr>
                <w:rPr>
                  <w:b w:val="0"/>
                </w:rPr>
                <w:id w:val="-1544291210"/>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383389F1" w14:textId="77777777" w:rsidR="00464A06" w:rsidRDefault="00464A06">
            <w:pPr>
              <w:pStyle w:val="StatementLevel1"/>
              <w:ind w:left="360" w:hanging="360"/>
            </w:pPr>
            <w:r>
              <w:t xml:space="preserve">The date of the electronic signature will be captured </w:t>
            </w:r>
          </w:p>
          <w:p w14:paraId="2C3FBF50" w14:textId="77777777" w:rsidR="00464A06" w:rsidRDefault="00464A06">
            <w:pPr>
              <w:pStyle w:val="StatementLevel1"/>
              <w:ind w:left="360" w:hanging="360"/>
            </w:pPr>
            <w:r>
              <w:rPr>
                <w:b/>
              </w:rPr>
              <w:t xml:space="preserve">(N/A if waiver of documentation of consent is requested and justified </w:t>
            </w:r>
            <w:sdt>
              <w:sdtPr>
                <w:rPr>
                  <w:b/>
                </w:rPr>
                <w:id w:val="1159111532"/>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p>
        </w:tc>
      </w:tr>
      <w:tr w:rsidR="00464A06" w14:paraId="062A27CF"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714B6D1F" w14:textId="77777777" w:rsidR="00464A06" w:rsidRDefault="00000000">
            <w:pPr>
              <w:pStyle w:val="Yes-No"/>
              <w:rPr>
                <w:b w:val="0"/>
              </w:rPr>
            </w:pPr>
            <w:sdt>
              <w:sdtPr>
                <w:rPr>
                  <w:b w:val="0"/>
                </w:rPr>
                <w:id w:val="-1584683876"/>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75A64175" w14:textId="77777777" w:rsidR="00464A06" w:rsidRDefault="00464A06">
            <w:pPr>
              <w:pStyle w:val="StatementLevel1"/>
              <w:ind w:left="360" w:hanging="360"/>
            </w:pPr>
            <w:r>
              <w:t>Questions or methods to gauge subject comprehension of key study elements are clearly defined in the informed consent procedures.</w:t>
            </w:r>
          </w:p>
        </w:tc>
      </w:tr>
      <w:tr w:rsidR="00464A06" w14:paraId="3D438FB4"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1A45DEE2" w14:textId="77777777" w:rsidR="00464A06" w:rsidRDefault="00000000">
            <w:pPr>
              <w:pStyle w:val="Yes-No"/>
              <w:rPr>
                <w:b w:val="0"/>
              </w:rPr>
            </w:pPr>
            <w:sdt>
              <w:sdtPr>
                <w:rPr>
                  <w:b w:val="0"/>
                </w:rPr>
                <w:id w:val="1148327594"/>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05843DCD" w14:textId="77777777" w:rsidR="00464A06" w:rsidRDefault="00464A06">
            <w:pPr>
              <w:pStyle w:val="StatementLevel1"/>
              <w:ind w:left="360" w:hanging="360"/>
            </w:pPr>
            <w:r>
              <w:t>Electronic consent process includes age appropriate materials to facilitate comprehension.</w:t>
            </w:r>
          </w:p>
        </w:tc>
      </w:tr>
      <w:tr w:rsidR="00464A06" w14:paraId="16480E28"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63ECC900" w14:textId="77777777" w:rsidR="00464A06" w:rsidRDefault="00000000">
            <w:pPr>
              <w:pStyle w:val="Yes-No"/>
              <w:rPr>
                <w:b w:val="0"/>
              </w:rPr>
            </w:pPr>
            <w:sdt>
              <w:sdtPr>
                <w:rPr>
                  <w:b w:val="0"/>
                </w:rPr>
                <w:id w:val="-932123872"/>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0DE7F253" w14:textId="77777777" w:rsidR="00464A06" w:rsidRDefault="00464A06">
            <w:pPr>
              <w:pStyle w:val="StatementLevel1"/>
              <w:ind w:left="360" w:hanging="360"/>
            </w:pPr>
            <w:r>
              <w:t>Electronic consent process is suitable to the study population or procedures are outlined to accommodate subject’s needs.</w:t>
            </w:r>
          </w:p>
        </w:tc>
      </w:tr>
      <w:tr w:rsidR="00464A06" w14:paraId="6F047929"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6553CA41" w14:textId="77777777" w:rsidR="00464A06" w:rsidRDefault="00000000">
            <w:pPr>
              <w:pStyle w:val="Yes-No"/>
              <w:rPr>
                <w:b w:val="0"/>
              </w:rPr>
            </w:pPr>
            <w:sdt>
              <w:sdtPr>
                <w:rPr>
                  <w:b w:val="0"/>
                </w:rPr>
                <w:id w:val="-1559468361"/>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5A830284" w14:textId="77777777" w:rsidR="00464A06" w:rsidRDefault="00464A06">
            <w:pPr>
              <w:pStyle w:val="StatementLevel1"/>
              <w:ind w:left="360" w:hanging="360"/>
              <w:rPr>
                <w:b/>
              </w:rPr>
            </w:pPr>
            <w:r>
              <w:t>Electronic consent document/process allows subjects to proceed forward or backward or pause for review later.</w:t>
            </w:r>
          </w:p>
        </w:tc>
      </w:tr>
      <w:tr w:rsidR="00464A06" w14:paraId="6D8888DA"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19A919BA" w14:textId="77777777" w:rsidR="00464A06" w:rsidRDefault="00000000">
            <w:pPr>
              <w:pStyle w:val="Yes-No"/>
              <w:rPr>
                <w:b w:val="0"/>
              </w:rPr>
            </w:pPr>
            <w:sdt>
              <w:sdtPr>
                <w:rPr>
                  <w:b w:val="0"/>
                </w:rPr>
                <w:id w:val="-694540029"/>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074CA38E" w14:textId="77777777" w:rsidR="00464A06" w:rsidRDefault="00464A06">
            <w:pPr>
              <w:pStyle w:val="StatementLevel1"/>
              <w:ind w:left="360" w:hanging="360"/>
            </w:pPr>
            <w:r>
              <w:t xml:space="preserve">Measures are present to ensure that subjects have access to all of the consent related materials, including hyperlinks or other external </w:t>
            </w:r>
          </w:p>
          <w:p w14:paraId="222B2DCB" w14:textId="77777777" w:rsidR="00464A06" w:rsidRDefault="00464A06">
            <w:pPr>
              <w:pStyle w:val="StatementLevel1"/>
              <w:ind w:left="360" w:hanging="360"/>
            </w:pPr>
            <w:r>
              <w:t>documents.</w:t>
            </w:r>
          </w:p>
        </w:tc>
      </w:tr>
      <w:tr w:rsidR="00464A06" w14:paraId="30382827"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29F717AC" w14:textId="77777777" w:rsidR="00464A06" w:rsidRDefault="00000000">
            <w:pPr>
              <w:pStyle w:val="Yes-No"/>
              <w:rPr>
                <w:b w:val="0"/>
              </w:rPr>
            </w:pPr>
            <w:sdt>
              <w:sdtPr>
                <w:rPr>
                  <w:b w:val="0"/>
                </w:rPr>
                <w:id w:val="-1343001042"/>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0753DA5C" w14:textId="77777777" w:rsidR="00464A06" w:rsidRDefault="00464A06">
            <w:pPr>
              <w:pStyle w:val="StatementLevel1"/>
              <w:ind w:left="360" w:hanging="360"/>
            </w:pPr>
            <w:r>
              <w:t xml:space="preserve">Plans are adequate to maintain external hyperlinks or documents and subject access to these documents throughout the lifespan of the </w:t>
            </w:r>
          </w:p>
          <w:p w14:paraId="36ECA9BA" w14:textId="77777777" w:rsidR="00464A06" w:rsidRDefault="00464A06">
            <w:pPr>
              <w:pStyle w:val="StatementLevel1"/>
              <w:ind w:left="360" w:hanging="360"/>
            </w:pPr>
            <w:r>
              <w:t>study until completion are detailed in the informed consent procedures.</w:t>
            </w:r>
          </w:p>
        </w:tc>
      </w:tr>
      <w:tr w:rsidR="00464A06" w14:paraId="48539616"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75692300" w14:textId="77777777" w:rsidR="00464A06" w:rsidRDefault="00000000">
            <w:pPr>
              <w:pStyle w:val="Yes-No"/>
              <w:rPr>
                <w:b w:val="0"/>
              </w:rPr>
            </w:pPr>
            <w:sdt>
              <w:sdtPr>
                <w:rPr>
                  <w:b w:val="0"/>
                </w:rPr>
                <w:id w:val="944046998"/>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5D70B81A" w14:textId="77777777" w:rsidR="00464A06" w:rsidRDefault="00464A06">
            <w:pPr>
              <w:pStyle w:val="StatementLevel1"/>
              <w:ind w:left="360" w:hanging="360"/>
              <w:rPr>
                <w:b/>
              </w:rPr>
            </w:pPr>
            <w:r>
              <w:t>The informed consent process outlines in detail how any included documents will be utilized.</w:t>
            </w:r>
          </w:p>
        </w:tc>
      </w:tr>
      <w:tr w:rsidR="00464A06" w14:paraId="4A03BA64"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49B19F43" w14:textId="77777777" w:rsidR="00464A06" w:rsidRDefault="00000000">
            <w:pPr>
              <w:pStyle w:val="Yes-No"/>
              <w:rPr>
                <w:b w:val="0"/>
              </w:rPr>
            </w:pPr>
            <w:sdt>
              <w:sdtPr>
                <w:rPr>
                  <w:b w:val="0"/>
                </w:rPr>
                <w:id w:val="-574053391"/>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766634C7" w14:textId="00E93E3B" w:rsidR="00464A06" w:rsidRDefault="00464A06" w:rsidP="003A147F">
            <w:pPr>
              <w:pStyle w:val="StatementLevel1"/>
              <w:ind w:left="1" w:hanging="1"/>
            </w:pPr>
            <w:r>
              <w:t>Measures are present to ensure that the identity of the signer and the integrity of the data can be verified when consent is not witnessed by the study team.</w:t>
            </w:r>
          </w:p>
        </w:tc>
      </w:tr>
      <w:tr w:rsidR="00464A06" w14:paraId="21899B16" w14:textId="77777777" w:rsidTr="00D06962">
        <w:tblPrEx>
          <w:tblCellMar>
            <w:left w:w="115" w:type="dxa"/>
            <w:right w:w="115" w:type="dxa"/>
          </w:tblCellMar>
        </w:tblPrEx>
        <w:tc>
          <w:tcPr>
            <w:tcW w:w="462" w:type="dxa"/>
            <w:tcBorders>
              <w:top w:val="nil"/>
              <w:left w:val="single" w:sz="4" w:space="0" w:color="auto"/>
              <w:bottom w:val="single" w:sz="4" w:space="0" w:color="auto"/>
              <w:right w:val="single" w:sz="4" w:space="0" w:color="auto"/>
            </w:tcBorders>
            <w:hideMark/>
          </w:tcPr>
          <w:p w14:paraId="0C127129" w14:textId="77777777" w:rsidR="00464A06" w:rsidRDefault="00000000">
            <w:pPr>
              <w:pStyle w:val="Yes-No"/>
              <w:rPr>
                <w:b w:val="0"/>
              </w:rPr>
            </w:pPr>
            <w:sdt>
              <w:sdtPr>
                <w:rPr>
                  <w:b w:val="0"/>
                </w:rPr>
                <w:id w:val="-1270921599"/>
                <w14:checkbox>
                  <w14:checked w14:val="0"/>
                  <w14:checkedState w14:val="2612" w14:font="MS Gothic"/>
                  <w14:uncheckedState w14:val="2610" w14:font="MS Gothic"/>
                </w14:checkbox>
              </w:sdtPr>
              <w:sdtContent>
                <w:r w:rsidR="00464A06">
                  <w:rPr>
                    <w:rFonts w:ascii="MS Gothic" w:eastAsia="MS Gothic" w:hAnsi="MS Gothic" w:hint="eastAsia"/>
                    <w:b w:val="0"/>
                  </w:rPr>
                  <w:t>☐</w:t>
                </w:r>
              </w:sdtContent>
            </w:sdt>
          </w:p>
        </w:tc>
        <w:tc>
          <w:tcPr>
            <w:tcW w:w="10328" w:type="dxa"/>
            <w:tcBorders>
              <w:top w:val="nil"/>
              <w:left w:val="single" w:sz="4" w:space="0" w:color="auto"/>
              <w:bottom w:val="single" w:sz="4" w:space="0" w:color="auto"/>
              <w:right w:val="single" w:sz="4" w:space="0" w:color="auto"/>
            </w:tcBorders>
            <w:hideMark/>
          </w:tcPr>
          <w:p w14:paraId="3A8BFBC6" w14:textId="77777777" w:rsidR="00464A06" w:rsidRDefault="00464A06">
            <w:pPr>
              <w:pStyle w:val="StatementLevel1"/>
              <w:ind w:left="360" w:hanging="360"/>
            </w:pPr>
            <w:r>
              <w:t xml:space="preserve">For FDA-Regulated Clinical Trials including children as research subjects, if the parent or guardian initially documents the child’s assent,  </w:t>
            </w:r>
          </w:p>
          <w:p w14:paraId="2746B884" w14:textId="77777777" w:rsidR="00464A06" w:rsidRDefault="00464A06">
            <w:pPr>
              <w:pStyle w:val="StatementLevel1"/>
              <w:ind w:left="360" w:hanging="360"/>
            </w:pPr>
            <w:r>
              <w:t xml:space="preserve">procedures are in place to verify the child’s identity and assent when the child initially presents to the investigator. </w:t>
            </w:r>
          </w:p>
          <w:p w14:paraId="5F2174C5" w14:textId="77777777" w:rsidR="00464A06" w:rsidRDefault="00464A06">
            <w:pPr>
              <w:pStyle w:val="StatementLevel1"/>
              <w:ind w:left="360" w:hanging="360"/>
            </w:pPr>
            <w:r>
              <w:rPr>
                <w:b/>
              </w:rPr>
              <w:t xml:space="preserve">(N/A if the research is not an FDA-Regulated Clinical Trial </w:t>
            </w:r>
            <w:sdt>
              <w:sdtPr>
                <w:rPr>
                  <w:b/>
                </w:rPr>
                <w:id w:val="132586223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p>
        </w:tc>
      </w:tr>
    </w:tbl>
    <w:p w14:paraId="12B45E12" w14:textId="77777777" w:rsidR="001B56EF" w:rsidRPr="00686EFD" w:rsidRDefault="001B56EF" w:rsidP="00D10253"/>
    <w:sectPr w:rsidR="001B56EF" w:rsidRPr="00686EFD" w:rsidSect="00C0319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B433" w14:textId="77777777" w:rsidR="00DB0545" w:rsidRDefault="00DB0545">
      <w:r>
        <w:separator/>
      </w:r>
    </w:p>
  </w:endnote>
  <w:endnote w:type="continuationSeparator" w:id="0">
    <w:p w14:paraId="59546321" w14:textId="77777777" w:rsidR="00DB0545" w:rsidRDefault="00DB0545">
      <w:r>
        <w:continuationSeparator/>
      </w:r>
    </w:p>
  </w:endnote>
  <w:endnote w:id="1">
    <w:p w14:paraId="30406F3C" w14:textId="77777777" w:rsidR="009B6D5F" w:rsidRDefault="009B6D5F" w:rsidP="009B6D5F">
      <w:pPr>
        <w:pStyle w:val="EndnoteText"/>
      </w:pPr>
      <w:r>
        <w:rPr>
          <w:rStyle w:val="EndnoteReference"/>
        </w:rPr>
        <w:endnoteRef/>
      </w:r>
      <w:r>
        <w:t xml:space="preserve"> 45 CFR §46.110(b)(1)</w:t>
      </w:r>
    </w:p>
  </w:endnote>
  <w:endnote w:id="2">
    <w:p w14:paraId="543393BB" w14:textId="426F1AA8" w:rsidR="009B6D5F" w:rsidRDefault="009B6D5F" w:rsidP="009B6D5F">
      <w:pPr>
        <w:pStyle w:val="EndnoteText"/>
      </w:pPr>
      <w:r>
        <w:rPr>
          <w:rStyle w:val="EndnoteReference"/>
        </w:rPr>
        <w:endnoteRef/>
      </w:r>
      <w:r>
        <w:t xml:space="preserve"> 45 CFR §46.111(a)(7)</w:t>
      </w:r>
    </w:p>
  </w:endnote>
  <w:endnote w:id="3">
    <w:p w14:paraId="7F87A0EC" w14:textId="1C6A713A" w:rsidR="009B6D5F" w:rsidRDefault="009B6D5F" w:rsidP="009B6D5F">
      <w:pPr>
        <w:pStyle w:val="EndnoteText"/>
      </w:pPr>
      <w:r>
        <w:rPr>
          <w:rStyle w:val="EndnoteReference"/>
        </w:rPr>
        <w:endnoteRef/>
      </w:r>
      <w:r>
        <w:t xml:space="preserve">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endnote>
  <w:endnote w:id="4">
    <w:p w14:paraId="691FA256" w14:textId="77777777" w:rsidR="009B6D5F" w:rsidRDefault="009B6D5F" w:rsidP="009B6D5F">
      <w:pPr>
        <w:pStyle w:val="EndnoteText"/>
      </w:pPr>
      <w:r>
        <w:rPr>
          <w:rStyle w:val="EndnoteReference"/>
        </w:rPr>
        <w:endnoteRef/>
      </w:r>
      <w:r>
        <w:t xml:space="preserve"> 45 CFR §46.111(a)(7)</w:t>
      </w:r>
    </w:p>
  </w:endnote>
  <w:endnote w:id="5">
    <w:p w14:paraId="1318C201" w14:textId="58EFE863" w:rsidR="009B6D5F" w:rsidRDefault="009B6D5F" w:rsidP="009B6D5F">
      <w:pPr>
        <w:pStyle w:val="EndnoteText"/>
      </w:pPr>
      <w:r>
        <w:rPr>
          <w:rStyle w:val="EndnoteReference"/>
        </w:rPr>
        <w:endnoteRef/>
      </w:r>
      <w: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endnote>
  <w:endnote w:id="6">
    <w:p w14:paraId="5AE12BC1" w14:textId="2706E25B" w:rsidR="009B6D5F" w:rsidRDefault="009B6D5F" w:rsidP="009B6D5F">
      <w:pPr>
        <w:pStyle w:val="EndnoteText"/>
      </w:pPr>
      <w:r>
        <w:rPr>
          <w:rStyle w:val="EndnoteReference"/>
        </w:rPr>
        <w:endnoteRef/>
      </w:r>
      <w:r>
        <w:t xml:space="preserve"> 45 CFR §46.111(a)(8)</w:t>
      </w:r>
    </w:p>
  </w:endnote>
  <w:endnote w:id="7">
    <w:p w14:paraId="039B5856" w14:textId="454F26E3" w:rsidR="009B6D5F" w:rsidRDefault="009B6D5F" w:rsidP="009B6D5F">
      <w:pPr>
        <w:pStyle w:val="EndnoteText"/>
      </w:pPr>
      <w:r>
        <w:rPr>
          <w:rStyle w:val="EndnoteReference"/>
        </w:rPr>
        <w:endnoteRef/>
      </w:r>
      <w:r>
        <w:t xml:space="preserve"> This provision does not prevent an investigator from abiding by any legal requirements to return individual research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338" w14:textId="77777777" w:rsidR="004F6243" w:rsidRDefault="004F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5E28" w14:textId="78BC7339" w:rsidR="00136BA2" w:rsidRPr="009A4687" w:rsidRDefault="00136BA2" w:rsidP="00136BA2">
    <w:pPr>
      <w:pStyle w:val="SOPFooter"/>
      <w:tabs>
        <w:tab w:val="right" w:pos="9720"/>
        <w:tab w:val="right" w:pos="10620"/>
      </w:tabs>
      <w:jc w:val="left"/>
      <w:rPr>
        <w:b/>
      </w:rPr>
    </w:pPr>
    <w:r w:rsidRPr="0082035D">
      <w:rPr>
        <w:rFonts w:ascii="Arial Black" w:hAnsi="Arial Black"/>
      </w:rPr>
      <w:t xml:space="preserve">HRPP Toolkit </w:t>
    </w:r>
    <w:r w:rsidR="00924496">
      <w:rPr>
        <w:rFonts w:ascii="Arial Black" w:hAnsi="Arial Black"/>
      </w:rPr>
      <w:t>4.0</w:t>
    </w:r>
    <w:r>
      <w:t xml:space="preserve"> </w:t>
    </w:r>
    <w:r w:rsidRPr="009A4687">
      <w:t xml:space="preserve"> </w:t>
    </w:r>
    <w:r w:rsidRPr="009A4687">
      <w:tab/>
    </w:r>
    <w:r w:rsidR="003948F5">
      <w:rPr>
        <w:rFonts w:ascii="Arial Black" w:hAnsi="Arial Black"/>
      </w:rPr>
      <w:t>HURON</w:t>
    </w:r>
  </w:p>
  <w:p w14:paraId="12B45E29" w14:textId="6ACA9312" w:rsidR="00136BA2" w:rsidRDefault="00136BA2" w:rsidP="00136BA2">
    <w:pPr>
      <w:pStyle w:val="SOPFooter"/>
      <w:tabs>
        <w:tab w:val="right" w:pos="9720"/>
        <w:tab w:val="right" w:pos="10620"/>
      </w:tabs>
      <w:jc w:val="left"/>
    </w:pPr>
    <w:r w:rsidRPr="009A4687">
      <w:t>©2009</w:t>
    </w:r>
    <w:r>
      <w:t>-201</w:t>
    </w:r>
    <w:r w:rsidR="003948F5">
      <w:t>7</w:t>
    </w:r>
    <w:r w:rsidRPr="009A4687">
      <w:t xml:space="preserve"> Huron Consulting Services, LLC.</w:t>
    </w:r>
    <w:r w:rsidRPr="009A4687">
      <w:tab/>
    </w:r>
    <w:r>
      <w:t>Your Mission | Our Solutions</w:t>
    </w:r>
  </w:p>
  <w:p w14:paraId="12B45E2A" w14:textId="77777777" w:rsidR="00136BA2" w:rsidRPr="00940F20" w:rsidRDefault="00136BA2" w:rsidP="00136BA2">
    <w:pPr>
      <w:pStyle w:val="SOPFooter"/>
      <w:tabs>
        <w:tab w:val="right" w:pos="9720"/>
        <w:tab w:val="right" w:pos="10620"/>
      </w:tabs>
      <w:jc w:val="left"/>
    </w:pPr>
    <w:r w:rsidRPr="009A4687">
      <w:t xml:space="preserve">Use and distribution subject </w:t>
    </w:r>
    <w:r>
      <w:t>to End User License Agreement</w:t>
    </w:r>
    <w:r w:rsidRPr="009A4687">
      <w:tab/>
    </w:r>
    <w:hyperlink r:id="rId1" w:history="1">
      <w:r w:rsidRPr="00ED7676">
        <w:rPr>
          <w:rStyle w:val="Hyperlink"/>
        </w:rPr>
        <w:t>IRBTransformation@huronconsultinggroup.com</w:t>
      </w:r>
    </w:hyperlink>
  </w:p>
  <w:p w14:paraId="12B45E2B" w14:textId="77777777" w:rsidR="004470D8" w:rsidRPr="004470D8" w:rsidRDefault="00000000" w:rsidP="0016118E">
    <w:pPr>
      <w:pStyle w:val="SOPFooter"/>
      <w:tabs>
        <w:tab w:val="right" w:pos="10620"/>
        <w:tab w:val="right" w:pos="10800"/>
      </w:tabs>
      <w:jc w:val="left"/>
    </w:pPr>
    <w:hyperlink w:history="1"/>
    <w:r w:rsidR="006D3E84" w:rsidRPr="009A4687">
      <w:tab/>
    </w:r>
    <w:hyperlink r:id="rId2"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637E" w14:textId="77777777" w:rsidR="004F6243" w:rsidRDefault="004F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DAC1" w14:textId="77777777" w:rsidR="00DB0545" w:rsidRDefault="00DB0545">
      <w:r>
        <w:separator/>
      </w:r>
    </w:p>
  </w:footnote>
  <w:footnote w:type="continuationSeparator" w:id="0">
    <w:p w14:paraId="4C5FB294" w14:textId="77777777" w:rsidR="00DB0545" w:rsidRDefault="00DB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2231" w14:textId="77777777" w:rsidR="004F6243" w:rsidRDefault="004F6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2600"/>
      <w:gridCol w:w="2602"/>
      <w:gridCol w:w="2560"/>
    </w:tblGrid>
    <w:tr w:rsidR="001D6622" w:rsidRPr="006520A8" w14:paraId="12B45E19" w14:textId="77777777" w:rsidTr="001D6622">
      <w:trPr>
        <w:cantSplit/>
        <w:trHeight w:hRule="exact" w:val="360"/>
      </w:trPr>
      <w:tc>
        <w:tcPr>
          <w:tcW w:w="2421" w:type="dxa"/>
          <w:vMerge w:val="restart"/>
          <w:tcBorders>
            <w:top w:val="nil"/>
            <w:left w:val="nil"/>
            <w:right w:val="nil"/>
          </w:tcBorders>
          <w:vAlign w:val="center"/>
        </w:tcPr>
        <w:p w14:paraId="12B45E17" w14:textId="72076E1C" w:rsidR="001D6622" w:rsidRPr="006520A8" w:rsidRDefault="004F6243" w:rsidP="00A6699A">
          <w:pPr>
            <w:jc w:val="center"/>
            <w:rPr>
              <w:b/>
              <w:color w:val="FFFFFF"/>
            </w:rPr>
          </w:pPr>
          <w:r>
            <w:rPr>
              <w:noProof/>
            </w:rPr>
            <w:drawing>
              <wp:inline distT="0" distB="0" distL="0" distR="0" wp14:anchorId="221816EB" wp14:editId="1133FAD5">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12B45E18" w14:textId="77777777" w:rsidR="001D6622" w:rsidRPr="006520A8" w:rsidRDefault="001D6622" w:rsidP="00A6699A">
          <w:pPr>
            <w:pStyle w:val="SOPName"/>
            <w:jc w:val="right"/>
            <w:rPr>
              <w:rStyle w:val="SOPLeader"/>
              <w:rFonts w:ascii="Arial" w:hAnsi="Arial" w:cs="Arial"/>
            </w:rPr>
          </w:pPr>
        </w:p>
      </w:tc>
    </w:tr>
    <w:tr w:rsidR="001D6622" w:rsidRPr="006520A8" w14:paraId="12B45E1C" w14:textId="77777777" w:rsidTr="001D6622">
      <w:trPr>
        <w:cantSplit/>
        <w:trHeight w:hRule="exact" w:val="360"/>
      </w:trPr>
      <w:tc>
        <w:tcPr>
          <w:tcW w:w="2421" w:type="dxa"/>
          <w:vMerge/>
          <w:tcBorders>
            <w:left w:val="nil"/>
            <w:right w:val="single" w:sz="8" w:space="0" w:color="auto"/>
          </w:tcBorders>
        </w:tcPr>
        <w:p w14:paraId="12B45E1A" w14:textId="77777777" w:rsidR="001D6622" w:rsidRDefault="001D6622" w:rsidP="00A6699A"/>
      </w:tc>
      <w:tc>
        <w:tcPr>
          <w:tcW w:w="8595" w:type="dxa"/>
          <w:gridSpan w:val="3"/>
          <w:tcBorders>
            <w:top w:val="single" w:sz="8" w:space="0" w:color="auto"/>
            <w:left w:val="single" w:sz="8" w:space="0" w:color="auto"/>
            <w:bottom w:val="single" w:sz="8" w:space="0" w:color="auto"/>
            <w:right w:val="single" w:sz="8" w:space="0" w:color="auto"/>
          </w:tcBorders>
          <w:vAlign w:val="center"/>
        </w:tcPr>
        <w:p w14:paraId="12B45E1B" w14:textId="26072025" w:rsidR="001D6622" w:rsidRPr="00EA6348" w:rsidRDefault="00CF7278" w:rsidP="00A6699A">
          <w:pPr>
            <w:pStyle w:val="SOPName"/>
            <w:rPr>
              <w:rFonts w:cs="Arial"/>
            </w:rPr>
          </w:pPr>
          <w:r>
            <w:rPr>
              <w:rStyle w:val="SOPLeader"/>
              <w:rFonts w:ascii="Arial" w:hAnsi="Arial" w:cs="Arial"/>
            </w:rPr>
            <w:t xml:space="preserve">WORKSHEET: </w:t>
          </w:r>
          <w:r w:rsidR="0058338B">
            <w:rPr>
              <w:rStyle w:val="SOPLeader"/>
              <w:rFonts w:ascii="Arial" w:hAnsi="Arial" w:cs="Arial"/>
            </w:rPr>
            <w:t>Limited IRB Review and Broad Consent</w:t>
          </w:r>
        </w:p>
      </w:tc>
    </w:tr>
    <w:tr w:rsidR="001D6622" w:rsidRPr="006520A8" w14:paraId="12B45E21" w14:textId="77777777" w:rsidTr="001D6622">
      <w:trPr>
        <w:cantSplit/>
        <w:trHeight w:val="195"/>
      </w:trPr>
      <w:tc>
        <w:tcPr>
          <w:tcW w:w="2421" w:type="dxa"/>
          <w:vMerge/>
          <w:tcBorders>
            <w:left w:val="nil"/>
            <w:right w:val="single" w:sz="8" w:space="0" w:color="auto"/>
          </w:tcBorders>
        </w:tcPr>
        <w:p w14:paraId="12B45E1D" w14:textId="77777777" w:rsidR="001D6622" w:rsidRDefault="001D6622" w:rsidP="00A6699A"/>
      </w:tc>
      <w:tc>
        <w:tcPr>
          <w:tcW w:w="2865" w:type="dxa"/>
          <w:tcBorders>
            <w:top w:val="single" w:sz="8" w:space="0" w:color="auto"/>
            <w:left w:val="single" w:sz="8" w:space="0" w:color="auto"/>
            <w:bottom w:val="single" w:sz="8" w:space="0" w:color="auto"/>
            <w:right w:val="single" w:sz="8" w:space="0" w:color="auto"/>
          </w:tcBorders>
          <w:vAlign w:val="center"/>
        </w:tcPr>
        <w:p w14:paraId="12B45E1E" w14:textId="77777777" w:rsidR="001D6622" w:rsidRPr="00985449" w:rsidRDefault="001D6622" w:rsidP="00A6699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2B45E1F" w14:textId="77777777" w:rsidR="001D6622" w:rsidRPr="006520A8" w:rsidRDefault="001D6622" w:rsidP="00A6699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2B45E20" w14:textId="77777777" w:rsidR="001D6622" w:rsidRPr="006520A8" w:rsidRDefault="001D6622" w:rsidP="00A6699A">
          <w:pPr>
            <w:pStyle w:val="SOPTableHeader"/>
            <w:rPr>
              <w:rFonts w:ascii="Arial" w:hAnsi="Arial" w:cs="Arial"/>
              <w:sz w:val="18"/>
              <w:szCs w:val="18"/>
            </w:rPr>
          </w:pPr>
          <w:r w:rsidRPr="006520A8">
            <w:rPr>
              <w:rFonts w:ascii="Arial" w:hAnsi="Arial" w:cs="Arial"/>
              <w:sz w:val="18"/>
              <w:szCs w:val="18"/>
            </w:rPr>
            <w:t>PAGE</w:t>
          </w:r>
        </w:p>
      </w:tc>
    </w:tr>
    <w:tr w:rsidR="001D6622" w:rsidRPr="006520A8" w14:paraId="12B45E26" w14:textId="77777777" w:rsidTr="001D6622">
      <w:trPr>
        <w:cantSplit/>
        <w:trHeight w:val="195"/>
      </w:trPr>
      <w:tc>
        <w:tcPr>
          <w:tcW w:w="2421" w:type="dxa"/>
          <w:vMerge/>
          <w:tcBorders>
            <w:left w:val="nil"/>
            <w:bottom w:val="nil"/>
            <w:right w:val="single" w:sz="8" w:space="0" w:color="auto"/>
          </w:tcBorders>
        </w:tcPr>
        <w:p w14:paraId="12B45E22" w14:textId="77777777" w:rsidR="001D6622" w:rsidRDefault="001D6622" w:rsidP="00A6699A"/>
      </w:tc>
      <w:tc>
        <w:tcPr>
          <w:tcW w:w="2865" w:type="dxa"/>
          <w:tcBorders>
            <w:top w:val="single" w:sz="8" w:space="0" w:color="auto"/>
            <w:left w:val="single" w:sz="8" w:space="0" w:color="auto"/>
            <w:bottom w:val="single" w:sz="8" w:space="0" w:color="auto"/>
            <w:right w:val="single" w:sz="8" w:space="0" w:color="auto"/>
          </w:tcBorders>
          <w:vAlign w:val="center"/>
        </w:tcPr>
        <w:p w14:paraId="12B45E23" w14:textId="76E5D259" w:rsidR="001D6622" w:rsidRPr="00C97966" w:rsidRDefault="001D6622" w:rsidP="00593AFB">
          <w:pPr>
            <w:pStyle w:val="SOPTableEntry"/>
            <w:rPr>
              <w:rFonts w:ascii="Arial" w:hAnsi="Arial" w:cs="Arial"/>
            </w:rPr>
          </w:pPr>
          <w:r w:rsidRPr="00C97966">
            <w:rPr>
              <w:rFonts w:ascii="Arial" w:hAnsi="Arial" w:cs="Arial"/>
            </w:rPr>
            <w:t>HRP-</w:t>
          </w:r>
          <w:r w:rsidR="003948F5">
            <w:rPr>
              <w:rFonts w:ascii="Arial" w:hAnsi="Arial" w:cs="Arial"/>
            </w:rPr>
            <w:t>319</w:t>
          </w:r>
        </w:p>
      </w:tc>
      <w:tc>
        <w:tcPr>
          <w:tcW w:w="2865" w:type="dxa"/>
          <w:tcBorders>
            <w:top w:val="single" w:sz="8" w:space="0" w:color="auto"/>
            <w:left w:val="single" w:sz="8" w:space="0" w:color="auto"/>
            <w:bottom w:val="single" w:sz="8" w:space="0" w:color="auto"/>
            <w:right w:val="single" w:sz="8" w:space="0" w:color="auto"/>
          </w:tcBorders>
          <w:vAlign w:val="center"/>
        </w:tcPr>
        <w:p w14:paraId="12B45E24" w14:textId="0F397DA1" w:rsidR="001D6622" w:rsidRPr="006520A8" w:rsidRDefault="003948F5" w:rsidP="006C0222">
          <w:pPr>
            <w:pStyle w:val="SOPTableEntry"/>
            <w:rPr>
              <w:rFonts w:ascii="Arial" w:hAnsi="Arial" w:cs="Arial"/>
            </w:rPr>
          </w:pPr>
          <w:r>
            <w:rPr>
              <w:rFonts w:ascii="Arial" w:hAnsi="Arial" w:cs="Arial"/>
            </w:rPr>
            <w:t>9/30/2017</w:t>
          </w:r>
        </w:p>
      </w:tc>
      <w:tc>
        <w:tcPr>
          <w:tcW w:w="2865" w:type="dxa"/>
          <w:tcBorders>
            <w:top w:val="single" w:sz="8" w:space="0" w:color="auto"/>
            <w:left w:val="single" w:sz="8" w:space="0" w:color="auto"/>
            <w:bottom w:val="single" w:sz="8" w:space="0" w:color="auto"/>
            <w:right w:val="single" w:sz="8" w:space="0" w:color="auto"/>
          </w:tcBorders>
          <w:vAlign w:val="center"/>
        </w:tcPr>
        <w:p w14:paraId="12B45E25" w14:textId="24DCBBB9" w:rsidR="001D6622" w:rsidRPr="006520A8" w:rsidRDefault="001D6622" w:rsidP="00A6699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06962">
            <w:rPr>
              <w:rFonts w:ascii="Arial" w:hAnsi="Arial" w:cs="Arial"/>
              <w:noProof/>
            </w:rPr>
            <w:t>3</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06962">
            <w:rPr>
              <w:rFonts w:ascii="Arial" w:hAnsi="Arial" w:cs="Arial"/>
              <w:noProof/>
            </w:rPr>
            <w:t>3</w:t>
          </w:r>
          <w:r w:rsidRPr="006520A8">
            <w:rPr>
              <w:rFonts w:ascii="Arial" w:hAnsi="Arial" w:cs="Arial"/>
            </w:rPr>
            <w:fldChar w:fldCharType="end"/>
          </w:r>
        </w:p>
      </w:tc>
    </w:tr>
  </w:tbl>
  <w:p w14:paraId="12B45E27" w14:textId="77777777" w:rsidR="00FF77DE" w:rsidRPr="00321577" w:rsidRDefault="00FF77D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572A" w14:textId="77777777" w:rsidR="004F6243" w:rsidRDefault="004F6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2790"/>
        </w:tabs>
        <w:ind w:left="279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4323332">
    <w:abstractNumId w:val="16"/>
  </w:num>
  <w:num w:numId="2" w16cid:durableId="1619948140">
    <w:abstractNumId w:val="10"/>
  </w:num>
  <w:num w:numId="3" w16cid:durableId="1829706421">
    <w:abstractNumId w:val="17"/>
  </w:num>
  <w:num w:numId="4" w16cid:durableId="1297099168">
    <w:abstractNumId w:val="9"/>
  </w:num>
  <w:num w:numId="5" w16cid:durableId="891814042">
    <w:abstractNumId w:val="7"/>
  </w:num>
  <w:num w:numId="6" w16cid:durableId="2027560369">
    <w:abstractNumId w:val="6"/>
  </w:num>
  <w:num w:numId="7" w16cid:durableId="1232694267">
    <w:abstractNumId w:val="5"/>
  </w:num>
  <w:num w:numId="8" w16cid:durableId="1770274029">
    <w:abstractNumId w:val="4"/>
  </w:num>
  <w:num w:numId="9" w16cid:durableId="1898777833">
    <w:abstractNumId w:val="8"/>
  </w:num>
  <w:num w:numId="10" w16cid:durableId="1506750930">
    <w:abstractNumId w:val="3"/>
  </w:num>
  <w:num w:numId="11" w16cid:durableId="1363436144">
    <w:abstractNumId w:val="2"/>
  </w:num>
  <w:num w:numId="12" w16cid:durableId="672101639">
    <w:abstractNumId w:val="1"/>
  </w:num>
  <w:num w:numId="13" w16cid:durableId="1786072134">
    <w:abstractNumId w:val="0"/>
  </w:num>
  <w:num w:numId="14" w16cid:durableId="551430864">
    <w:abstractNumId w:val="15"/>
  </w:num>
  <w:num w:numId="15" w16cid:durableId="535896228">
    <w:abstractNumId w:val="18"/>
  </w:num>
  <w:num w:numId="16" w16cid:durableId="1199320260">
    <w:abstractNumId w:val="22"/>
  </w:num>
  <w:num w:numId="17" w16cid:durableId="1591893906">
    <w:abstractNumId w:val="12"/>
  </w:num>
  <w:num w:numId="18" w16cid:durableId="1498761667">
    <w:abstractNumId w:val="21"/>
  </w:num>
  <w:num w:numId="19" w16cid:durableId="971983560">
    <w:abstractNumId w:val="20"/>
  </w:num>
  <w:num w:numId="20" w16cid:durableId="481236686">
    <w:abstractNumId w:val="19"/>
  </w:num>
  <w:num w:numId="21" w16cid:durableId="1886408213">
    <w:abstractNumId w:val="23"/>
  </w:num>
  <w:num w:numId="22" w16cid:durableId="646473220">
    <w:abstractNumId w:val="14"/>
  </w:num>
  <w:num w:numId="23" w16cid:durableId="873007190">
    <w:abstractNumId w:val="11"/>
  </w:num>
  <w:num w:numId="24" w16cid:durableId="59866303">
    <w:abstractNumId w:val="24"/>
  </w:num>
  <w:num w:numId="25" w16cid:durableId="1855534330">
    <w:abstractNumId w:val="13"/>
  </w:num>
  <w:num w:numId="26" w16cid:durableId="284044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31"/>
    <w:rsid w:val="00000964"/>
    <w:rsid w:val="00004D09"/>
    <w:rsid w:val="00010EB7"/>
    <w:rsid w:val="00015C6B"/>
    <w:rsid w:val="00025DD1"/>
    <w:rsid w:val="0003686C"/>
    <w:rsid w:val="00037623"/>
    <w:rsid w:val="000434A7"/>
    <w:rsid w:val="000470D3"/>
    <w:rsid w:val="00055261"/>
    <w:rsid w:val="00064788"/>
    <w:rsid w:val="00071D82"/>
    <w:rsid w:val="00076A61"/>
    <w:rsid w:val="000838C7"/>
    <w:rsid w:val="000953FE"/>
    <w:rsid w:val="000954C3"/>
    <w:rsid w:val="00095DA4"/>
    <w:rsid w:val="000966C5"/>
    <w:rsid w:val="000A14A1"/>
    <w:rsid w:val="000B3FBF"/>
    <w:rsid w:val="000C62F9"/>
    <w:rsid w:val="000C6F5A"/>
    <w:rsid w:val="000D3870"/>
    <w:rsid w:val="000F2F39"/>
    <w:rsid w:val="00125CF3"/>
    <w:rsid w:val="00126688"/>
    <w:rsid w:val="00127B18"/>
    <w:rsid w:val="00130BE8"/>
    <w:rsid w:val="00136BA2"/>
    <w:rsid w:val="0016118E"/>
    <w:rsid w:val="00163482"/>
    <w:rsid w:val="00164B1E"/>
    <w:rsid w:val="001666EB"/>
    <w:rsid w:val="00167DEF"/>
    <w:rsid w:val="0017431E"/>
    <w:rsid w:val="00180DCD"/>
    <w:rsid w:val="00180F9E"/>
    <w:rsid w:val="001822E0"/>
    <w:rsid w:val="001829F9"/>
    <w:rsid w:val="00194A43"/>
    <w:rsid w:val="001A3FE7"/>
    <w:rsid w:val="001B56EF"/>
    <w:rsid w:val="001D03CF"/>
    <w:rsid w:val="001D6622"/>
    <w:rsid w:val="001D6A2E"/>
    <w:rsid w:val="001E0B42"/>
    <w:rsid w:val="001E577E"/>
    <w:rsid w:val="00206905"/>
    <w:rsid w:val="002140D6"/>
    <w:rsid w:val="002266CE"/>
    <w:rsid w:val="002346E6"/>
    <w:rsid w:val="00242341"/>
    <w:rsid w:val="00257C03"/>
    <w:rsid w:val="00260F7B"/>
    <w:rsid w:val="00272D9A"/>
    <w:rsid w:val="0027773F"/>
    <w:rsid w:val="00293FB9"/>
    <w:rsid w:val="0029654E"/>
    <w:rsid w:val="002B675A"/>
    <w:rsid w:val="002C1827"/>
    <w:rsid w:val="002D0F5C"/>
    <w:rsid w:val="002D7A05"/>
    <w:rsid w:val="002E11E5"/>
    <w:rsid w:val="002F1272"/>
    <w:rsid w:val="00302697"/>
    <w:rsid w:val="00302A82"/>
    <w:rsid w:val="0030441F"/>
    <w:rsid w:val="00305112"/>
    <w:rsid w:val="0031459E"/>
    <w:rsid w:val="00316190"/>
    <w:rsid w:val="00317E8B"/>
    <w:rsid w:val="00317F38"/>
    <w:rsid w:val="00321577"/>
    <w:rsid w:val="0032513C"/>
    <w:rsid w:val="00332C7C"/>
    <w:rsid w:val="00343D7D"/>
    <w:rsid w:val="00380737"/>
    <w:rsid w:val="00383CD5"/>
    <w:rsid w:val="003869FB"/>
    <w:rsid w:val="003948F5"/>
    <w:rsid w:val="003A147F"/>
    <w:rsid w:val="003B03A4"/>
    <w:rsid w:val="003B1A18"/>
    <w:rsid w:val="003B47DE"/>
    <w:rsid w:val="003D4F76"/>
    <w:rsid w:val="003D5F35"/>
    <w:rsid w:val="003E1AF6"/>
    <w:rsid w:val="003E539E"/>
    <w:rsid w:val="003E6066"/>
    <w:rsid w:val="003E665D"/>
    <w:rsid w:val="003E7717"/>
    <w:rsid w:val="003F449C"/>
    <w:rsid w:val="003F76D1"/>
    <w:rsid w:val="0040788A"/>
    <w:rsid w:val="004079FD"/>
    <w:rsid w:val="004113B3"/>
    <w:rsid w:val="00417226"/>
    <w:rsid w:val="004254E4"/>
    <w:rsid w:val="00427ADC"/>
    <w:rsid w:val="00427C96"/>
    <w:rsid w:val="00436538"/>
    <w:rsid w:val="00444D31"/>
    <w:rsid w:val="004470D8"/>
    <w:rsid w:val="00464A06"/>
    <w:rsid w:val="00470CD0"/>
    <w:rsid w:val="00474EF1"/>
    <w:rsid w:val="00476AB2"/>
    <w:rsid w:val="00477AFE"/>
    <w:rsid w:val="004813F1"/>
    <w:rsid w:val="00481950"/>
    <w:rsid w:val="004A0BBE"/>
    <w:rsid w:val="004A4590"/>
    <w:rsid w:val="004C0631"/>
    <w:rsid w:val="004C3CA1"/>
    <w:rsid w:val="004D2EA4"/>
    <w:rsid w:val="004D495F"/>
    <w:rsid w:val="004D73C3"/>
    <w:rsid w:val="004E5FAA"/>
    <w:rsid w:val="004F0F78"/>
    <w:rsid w:val="004F1B25"/>
    <w:rsid w:val="004F6243"/>
    <w:rsid w:val="00505BBC"/>
    <w:rsid w:val="00515A79"/>
    <w:rsid w:val="00524472"/>
    <w:rsid w:val="005479E5"/>
    <w:rsid w:val="005647C1"/>
    <w:rsid w:val="0058338B"/>
    <w:rsid w:val="00584D8A"/>
    <w:rsid w:val="00593AFB"/>
    <w:rsid w:val="0059515C"/>
    <w:rsid w:val="005C354F"/>
    <w:rsid w:val="005D0C6E"/>
    <w:rsid w:val="005D5E6E"/>
    <w:rsid w:val="005E03C1"/>
    <w:rsid w:val="005E2DDD"/>
    <w:rsid w:val="005F1B9E"/>
    <w:rsid w:val="00614B71"/>
    <w:rsid w:val="00624A1F"/>
    <w:rsid w:val="00624D0F"/>
    <w:rsid w:val="00637848"/>
    <w:rsid w:val="00640DBA"/>
    <w:rsid w:val="0066219D"/>
    <w:rsid w:val="00662B81"/>
    <w:rsid w:val="00663F50"/>
    <w:rsid w:val="0066791E"/>
    <w:rsid w:val="0067725D"/>
    <w:rsid w:val="00684EF2"/>
    <w:rsid w:val="0068561A"/>
    <w:rsid w:val="00686EFD"/>
    <w:rsid w:val="0068714A"/>
    <w:rsid w:val="0069117E"/>
    <w:rsid w:val="006939B6"/>
    <w:rsid w:val="00695ADC"/>
    <w:rsid w:val="006A7F27"/>
    <w:rsid w:val="006B0840"/>
    <w:rsid w:val="006B43FA"/>
    <w:rsid w:val="006B5479"/>
    <w:rsid w:val="006B67CB"/>
    <w:rsid w:val="006C0222"/>
    <w:rsid w:val="006D3E84"/>
    <w:rsid w:val="006F02EB"/>
    <w:rsid w:val="00712226"/>
    <w:rsid w:val="007151EA"/>
    <w:rsid w:val="00723E5C"/>
    <w:rsid w:val="007247F1"/>
    <w:rsid w:val="00730E12"/>
    <w:rsid w:val="0074308C"/>
    <w:rsid w:val="00744C5B"/>
    <w:rsid w:val="00746AEB"/>
    <w:rsid w:val="00746F5F"/>
    <w:rsid w:val="00751B69"/>
    <w:rsid w:val="00756A92"/>
    <w:rsid w:val="00790D2E"/>
    <w:rsid w:val="007A1C9A"/>
    <w:rsid w:val="007C5499"/>
    <w:rsid w:val="007D0CF7"/>
    <w:rsid w:val="007D198C"/>
    <w:rsid w:val="007D30DD"/>
    <w:rsid w:val="007D608E"/>
    <w:rsid w:val="007F01A9"/>
    <w:rsid w:val="007F1811"/>
    <w:rsid w:val="007F2361"/>
    <w:rsid w:val="00832E13"/>
    <w:rsid w:val="008429A5"/>
    <w:rsid w:val="00843AE5"/>
    <w:rsid w:val="0084592C"/>
    <w:rsid w:val="008461AF"/>
    <w:rsid w:val="008468DD"/>
    <w:rsid w:val="0085498A"/>
    <w:rsid w:val="00857174"/>
    <w:rsid w:val="008639EC"/>
    <w:rsid w:val="00871E58"/>
    <w:rsid w:val="0087471B"/>
    <w:rsid w:val="00877901"/>
    <w:rsid w:val="0088347B"/>
    <w:rsid w:val="008960EE"/>
    <w:rsid w:val="008A4CDC"/>
    <w:rsid w:val="008A5F88"/>
    <w:rsid w:val="008B6079"/>
    <w:rsid w:val="008E7827"/>
    <w:rsid w:val="008F4322"/>
    <w:rsid w:val="00907875"/>
    <w:rsid w:val="00924496"/>
    <w:rsid w:val="00933DA8"/>
    <w:rsid w:val="00944550"/>
    <w:rsid w:val="00965DFA"/>
    <w:rsid w:val="009767E8"/>
    <w:rsid w:val="00981050"/>
    <w:rsid w:val="00985396"/>
    <w:rsid w:val="0099128C"/>
    <w:rsid w:val="00996D54"/>
    <w:rsid w:val="009A2F13"/>
    <w:rsid w:val="009A3104"/>
    <w:rsid w:val="009A3CCD"/>
    <w:rsid w:val="009A4904"/>
    <w:rsid w:val="009A4F52"/>
    <w:rsid w:val="009A603C"/>
    <w:rsid w:val="009A73CB"/>
    <w:rsid w:val="009B6D5F"/>
    <w:rsid w:val="009B71F4"/>
    <w:rsid w:val="009C7FE9"/>
    <w:rsid w:val="009E673F"/>
    <w:rsid w:val="00A05445"/>
    <w:rsid w:val="00A06028"/>
    <w:rsid w:val="00A15200"/>
    <w:rsid w:val="00A1668B"/>
    <w:rsid w:val="00A203E7"/>
    <w:rsid w:val="00A27081"/>
    <w:rsid w:val="00A27D2C"/>
    <w:rsid w:val="00A44C6B"/>
    <w:rsid w:val="00A44E1A"/>
    <w:rsid w:val="00A62B57"/>
    <w:rsid w:val="00A6699A"/>
    <w:rsid w:val="00A874C8"/>
    <w:rsid w:val="00A96525"/>
    <w:rsid w:val="00AA404C"/>
    <w:rsid w:val="00AA637B"/>
    <w:rsid w:val="00AA7CB3"/>
    <w:rsid w:val="00AB6226"/>
    <w:rsid w:val="00AC56E3"/>
    <w:rsid w:val="00AD4F01"/>
    <w:rsid w:val="00AD4F03"/>
    <w:rsid w:val="00AD5394"/>
    <w:rsid w:val="00AE15E0"/>
    <w:rsid w:val="00AE1DBD"/>
    <w:rsid w:val="00AE2818"/>
    <w:rsid w:val="00AE509F"/>
    <w:rsid w:val="00AF3F83"/>
    <w:rsid w:val="00B1494D"/>
    <w:rsid w:val="00B1504E"/>
    <w:rsid w:val="00B23321"/>
    <w:rsid w:val="00B252BD"/>
    <w:rsid w:val="00B32ED9"/>
    <w:rsid w:val="00B3625F"/>
    <w:rsid w:val="00B4789C"/>
    <w:rsid w:val="00B514C3"/>
    <w:rsid w:val="00B51C13"/>
    <w:rsid w:val="00B5461B"/>
    <w:rsid w:val="00B56CA0"/>
    <w:rsid w:val="00B6041D"/>
    <w:rsid w:val="00B70E9E"/>
    <w:rsid w:val="00B85B03"/>
    <w:rsid w:val="00B968A8"/>
    <w:rsid w:val="00BA00A1"/>
    <w:rsid w:val="00BA624D"/>
    <w:rsid w:val="00BB4C83"/>
    <w:rsid w:val="00BD0B21"/>
    <w:rsid w:val="00BE54A6"/>
    <w:rsid w:val="00BE73BA"/>
    <w:rsid w:val="00BF15C4"/>
    <w:rsid w:val="00BF487C"/>
    <w:rsid w:val="00C0319E"/>
    <w:rsid w:val="00C04910"/>
    <w:rsid w:val="00C22BD9"/>
    <w:rsid w:val="00C23EA3"/>
    <w:rsid w:val="00C278C9"/>
    <w:rsid w:val="00C348C0"/>
    <w:rsid w:val="00C43CF0"/>
    <w:rsid w:val="00C4560F"/>
    <w:rsid w:val="00C505CC"/>
    <w:rsid w:val="00C55D7E"/>
    <w:rsid w:val="00C738AD"/>
    <w:rsid w:val="00C81148"/>
    <w:rsid w:val="00C93AEA"/>
    <w:rsid w:val="00C943A2"/>
    <w:rsid w:val="00CB78C8"/>
    <w:rsid w:val="00CD12BF"/>
    <w:rsid w:val="00CD717A"/>
    <w:rsid w:val="00CE5F8B"/>
    <w:rsid w:val="00CE74C8"/>
    <w:rsid w:val="00CE783B"/>
    <w:rsid w:val="00CF7278"/>
    <w:rsid w:val="00D054B6"/>
    <w:rsid w:val="00D06962"/>
    <w:rsid w:val="00D10253"/>
    <w:rsid w:val="00D10A06"/>
    <w:rsid w:val="00D16C2F"/>
    <w:rsid w:val="00D20CB8"/>
    <w:rsid w:val="00D26CF2"/>
    <w:rsid w:val="00D352EF"/>
    <w:rsid w:val="00D46A67"/>
    <w:rsid w:val="00D47BC0"/>
    <w:rsid w:val="00D5039E"/>
    <w:rsid w:val="00D56C1C"/>
    <w:rsid w:val="00D7448E"/>
    <w:rsid w:val="00D84B18"/>
    <w:rsid w:val="00D85DE5"/>
    <w:rsid w:val="00D92D39"/>
    <w:rsid w:val="00D94282"/>
    <w:rsid w:val="00DA1AFB"/>
    <w:rsid w:val="00DA51EF"/>
    <w:rsid w:val="00DB0545"/>
    <w:rsid w:val="00DD3471"/>
    <w:rsid w:val="00DD5936"/>
    <w:rsid w:val="00DE3F0D"/>
    <w:rsid w:val="00DE7DC9"/>
    <w:rsid w:val="00DF0CD1"/>
    <w:rsid w:val="00E028CC"/>
    <w:rsid w:val="00E23510"/>
    <w:rsid w:val="00E43088"/>
    <w:rsid w:val="00E46AB5"/>
    <w:rsid w:val="00E54674"/>
    <w:rsid w:val="00E55B7D"/>
    <w:rsid w:val="00E744F2"/>
    <w:rsid w:val="00E770D8"/>
    <w:rsid w:val="00E77BA3"/>
    <w:rsid w:val="00E82515"/>
    <w:rsid w:val="00E834E5"/>
    <w:rsid w:val="00E95309"/>
    <w:rsid w:val="00EA63BC"/>
    <w:rsid w:val="00EB5A5C"/>
    <w:rsid w:val="00EC21DB"/>
    <w:rsid w:val="00EC25F4"/>
    <w:rsid w:val="00EC335D"/>
    <w:rsid w:val="00EC4702"/>
    <w:rsid w:val="00EC5D53"/>
    <w:rsid w:val="00EC7548"/>
    <w:rsid w:val="00EC7F74"/>
    <w:rsid w:val="00EF208E"/>
    <w:rsid w:val="00EF4134"/>
    <w:rsid w:val="00F06E31"/>
    <w:rsid w:val="00F133CB"/>
    <w:rsid w:val="00F1772C"/>
    <w:rsid w:val="00F21B30"/>
    <w:rsid w:val="00F5524E"/>
    <w:rsid w:val="00F773C1"/>
    <w:rsid w:val="00F9358E"/>
    <w:rsid w:val="00FA7596"/>
    <w:rsid w:val="00FD6FF6"/>
    <w:rsid w:val="00FD7409"/>
    <w:rsid w:val="00FD79FC"/>
    <w:rsid w:val="00FE0F6B"/>
    <w:rsid w:val="00FE1B78"/>
    <w:rsid w:val="00FE7807"/>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B45DA8"/>
  <w15:docId w15:val="{31812C3F-6346-40AA-A6CF-9390EC18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9F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B1494D"/>
    <w:rPr>
      <w:sz w:val="16"/>
      <w:szCs w:val="16"/>
    </w:rPr>
  </w:style>
  <w:style w:type="paragraph" w:styleId="CommentText">
    <w:name w:val="annotation text"/>
    <w:basedOn w:val="Normal"/>
    <w:link w:val="CommentTextChar"/>
    <w:semiHidden/>
    <w:unhideWhenUsed/>
    <w:rsid w:val="00B1494D"/>
    <w:rPr>
      <w:sz w:val="20"/>
      <w:szCs w:val="20"/>
    </w:rPr>
  </w:style>
  <w:style w:type="character" w:customStyle="1" w:styleId="CommentTextChar">
    <w:name w:val="Comment Text Char"/>
    <w:basedOn w:val="DefaultParagraphFont"/>
    <w:link w:val="CommentText"/>
    <w:semiHidden/>
    <w:rsid w:val="00B1494D"/>
  </w:style>
  <w:style w:type="paragraph" w:styleId="CommentSubject">
    <w:name w:val="annotation subject"/>
    <w:basedOn w:val="CommentText"/>
    <w:next w:val="CommentText"/>
    <w:link w:val="CommentSubjectChar"/>
    <w:semiHidden/>
    <w:unhideWhenUsed/>
    <w:rsid w:val="00B1494D"/>
    <w:rPr>
      <w:b/>
      <w:bCs/>
    </w:rPr>
  </w:style>
  <w:style w:type="character" w:customStyle="1" w:styleId="CommentSubjectChar">
    <w:name w:val="Comment Subject Char"/>
    <w:basedOn w:val="CommentTextChar"/>
    <w:link w:val="CommentSubject"/>
    <w:semiHidden/>
    <w:rsid w:val="00B1494D"/>
    <w:rPr>
      <w:b/>
      <w:bCs/>
    </w:rPr>
  </w:style>
  <w:style w:type="character" w:customStyle="1" w:styleId="EndnoteTextChar">
    <w:name w:val="Endnote Text Char"/>
    <w:basedOn w:val="DefaultParagraphFont"/>
    <w:link w:val="EndnoteText"/>
    <w:semiHidden/>
    <w:rsid w:val="0058338B"/>
    <w:rPr>
      <w:sz w:val="18"/>
    </w:rPr>
  </w:style>
  <w:style w:type="character" w:customStyle="1" w:styleId="ChecklistBasisChar">
    <w:name w:val="Checklist Basis Char"/>
    <w:link w:val="ChecklistBasis"/>
    <w:locked/>
    <w:rsid w:val="0058338B"/>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26256">
      <w:bodyDiv w:val="1"/>
      <w:marLeft w:val="0"/>
      <w:marRight w:val="0"/>
      <w:marTop w:val="0"/>
      <w:marBottom w:val="0"/>
      <w:divBdr>
        <w:top w:val="none" w:sz="0" w:space="0" w:color="auto"/>
        <w:left w:val="none" w:sz="0" w:space="0" w:color="auto"/>
        <w:bottom w:val="none" w:sz="0" w:space="0" w:color="auto"/>
        <w:right w:val="none" w:sz="0" w:space="0" w:color="auto"/>
      </w:divBdr>
    </w:div>
    <w:div w:id="997002440">
      <w:bodyDiv w:val="1"/>
      <w:marLeft w:val="0"/>
      <w:marRight w:val="0"/>
      <w:marTop w:val="0"/>
      <w:marBottom w:val="0"/>
      <w:divBdr>
        <w:top w:val="none" w:sz="0" w:space="0" w:color="auto"/>
        <w:left w:val="none" w:sz="0" w:space="0" w:color="auto"/>
        <w:bottom w:val="none" w:sz="0" w:space="0" w:color="auto"/>
        <w:right w:val="none" w:sz="0" w:space="0" w:color="auto"/>
      </w:divBdr>
    </w:div>
    <w:div w:id="1166559363">
      <w:bodyDiv w:val="1"/>
      <w:marLeft w:val="0"/>
      <w:marRight w:val="0"/>
      <w:marTop w:val="0"/>
      <w:marBottom w:val="0"/>
      <w:divBdr>
        <w:top w:val="none" w:sz="0" w:space="0" w:color="auto"/>
        <w:left w:val="none" w:sz="0" w:space="0" w:color="auto"/>
        <w:bottom w:val="none" w:sz="0" w:space="0" w:color="auto"/>
        <w:right w:val="none" w:sz="0" w:space="0" w:color="auto"/>
      </w:divBdr>
    </w:div>
    <w:div w:id="1206528223">
      <w:bodyDiv w:val="1"/>
      <w:marLeft w:val="0"/>
      <w:marRight w:val="0"/>
      <w:marTop w:val="0"/>
      <w:marBottom w:val="0"/>
      <w:divBdr>
        <w:top w:val="none" w:sz="0" w:space="0" w:color="auto"/>
        <w:left w:val="none" w:sz="0" w:space="0" w:color="auto"/>
        <w:bottom w:val="none" w:sz="0" w:space="0" w:color="auto"/>
        <w:right w:val="none" w:sz="0" w:space="0" w:color="auto"/>
      </w:divBdr>
    </w:div>
    <w:div w:id="1806459685">
      <w:bodyDiv w:val="1"/>
      <w:marLeft w:val="0"/>
      <w:marRight w:val="0"/>
      <w:marTop w:val="0"/>
      <w:marBottom w:val="0"/>
      <w:divBdr>
        <w:top w:val="none" w:sz="0" w:space="0" w:color="auto"/>
        <w:left w:val="none" w:sz="0" w:space="0" w:color="auto"/>
        <w:bottom w:val="none" w:sz="0" w:space="0" w:color="auto"/>
        <w:right w:val="none" w:sz="0" w:space="0" w:color="auto"/>
      </w:divBdr>
    </w:div>
    <w:div w:id="2013532824">
      <w:bodyDiv w:val="1"/>
      <w:marLeft w:val="0"/>
      <w:marRight w:val="0"/>
      <w:marTop w:val="0"/>
      <w:marBottom w:val="0"/>
      <w:divBdr>
        <w:top w:val="none" w:sz="0" w:space="0" w:color="auto"/>
        <w:left w:val="none" w:sz="0" w:space="0" w:color="auto"/>
        <w:bottom w:val="none" w:sz="0" w:space="0" w:color="auto"/>
        <w:right w:val="none" w:sz="0" w:space="0" w:color="auto"/>
      </w:divBdr>
    </w:div>
    <w:div w:id="20208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mailto:" TargetMode="External"/><Relationship Id="rId1" Type="http://schemas.openxmlformats.org/officeDocument/2006/relationships/hyperlink" Target="mailto:IRBTransformation@huronconsulting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68115-8D61-4224-B7B0-14A301B8DDC3}">
  <ds:schemaRefs>
    <ds:schemaRef ds:uri="http://schemas.openxmlformats.org/officeDocument/2006/bibliography"/>
  </ds:schemaRefs>
</ds:datastoreItem>
</file>

<file path=customXml/itemProps2.xml><?xml version="1.0" encoding="utf-8"?>
<ds:datastoreItem xmlns:ds="http://schemas.openxmlformats.org/officeDocument/2006/customXml" ds:itemID="{4C412A0E-688A-4067-8F5D-3E6F37C7D47C}">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D0E750F9-6DFE-4C21-B763-2DFB5541D853}">
  <ds:schemaRefs>
    <ds:schemaRef ds:uri="http://schemas.microsoft.com/sharepoint/v3/contenttype/forms"/>
  </ds:schemaRefs>
</ds:datastoreItem>
</file>

<file path=customXml/itemProps4.xml><?xml version="1.0" encoding="utf-8"?>
<ds:datastoreItem xmlns:ds="http://schemas.openxmlformats.org/officeDocument/2006/customXml" ds:itemID="{8D81B7CB-92AE-49BF-9885-F1C129AE74E9}">
  <ds:schemaRefs>
    <ds:schemaRef ds:uri="http://schemas.microsoft.com/sharepoint/events"/>
  </ds:schemaRefs>
</ds:datastoreItem>
</file>

<file path=customXml/itemProps5.xml><?xml version="1.0" encoding="utf-8"?>
<ds:datastoreItem xmlns:ds="http://schemas.openxmlformats.org/officeDocument/2006/customXml" ds:itemID="{B6C3DA9F-7F4C-46ED-8281-F3B37D744679}"/>
</file>

<file path=docProps/app.xml><?xml version="1.0" encoding="utf-8"?>
<Properties xmlns="http://schemas.openxmlformats.org/officeDocument/2006/extended-properties" xmlns:vt="http://schemas.openxmlformats.org/officeDocument/2006/docPropsVTypes">
  <Template>Normal.dotm</Template>
  <TotalTime>2</TotalTime>
  <Pages>3</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WORKSHEET: Exemption Determination</vt:lpstr>
    </vt:vector>
  </TitlesOfParts>
  <Manager>Huron Consulting Group, Inc.</Manager>
  <Company>Huron Consulting Group, Inc.</Company>
  <LinksUpToDate>false</LinksUpToDate>
  <CharactersWithSpaces>10921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Exemption Determination</dc:title>
  <dc:subject>Huron HRPP Toolkit</dc:subject>
  <dc:creator>Huron Consulting Group, Inc.</dc:creator>
  <cp:keywords>Huron, HRPP, SOP</cp:keywords>
  <dc:description>©2009-2016 Huron Consulting Services, LLC. Use and distribution subject to End User License Agreement</dc:description>
  <cp:lastModifiedBy>Larsen, Gina</cp:lastModifiedBy>
  <cp:revision>5</cp:revision>
  <cp:lastPrinted>2013-10-24T15:07:00Z</cp:lastPrinted>
  <dcterms:created xsi:type="dcterms:W3CDTF">2017-10-02T14:43:00Z</dcterms:created>
  <dcterms:modified xsi:type="dcterms:W3CDTF">2022-12-01T19:14:00Z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y fmtid="{D5CDD505-2E9C-101B-9397-08002B2CF9AE}" pid="3" name="_dlc_DocIdItemGuid">
    <vt:lpwstr>6382c483-25e4-4231-a4a1-0bad8016e5d4</vt:lpwstr>
  </property>
</Properties>
</file>